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B5" w:rsidRDefault="004B1EB5" w:rsidP="00DB5124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F030AE" w:rsidRDefault="00F030AE" w:rsidP="00DB5124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>GUÍA</w:t>
      </w:r>
      <w:r w:rsidRPr="00C75420">
        <w:rPr>
          <w:rFonts w:ascii="Arial Narrow" w:hAnsi="Arial Narrow" w:cs="Arial"/>
          <w:b/>
          <w:sz w:val="24"/>
          <w:szCs w:val="24"/>
          <w:lang w:val="es-ES"/>
        </w:rPr>
        <w:t xml:space="preserve"> DE SUPERVISIÓN A </w:t>
      </w:r>
      <w:r>
        <w:rPr>
          <w:rFonts w:ascii="Arial Narrow" w:hAnsi="Arial Narrow" w:cs="Arial"/>
          <w:b/>
          <w:sz w:val="24"/>
          <w:szCs w:val="24"/>
          <w:lang w:val="es-ES"/>
        </w:rPr>
        <w:t>COORDINACIONES DE ZONA</w:t>
      </w: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0849" w:type="dxa"/>
        <w:jc w:val="center"/>
        <w:tblLook w:val="04A0" w:firstRow="1" w:lastRow="0" w:firstColumn="1" w:lastColumn="0" w:noHBand="0" w:noVBand="1"/>
      </w:tblPr>
      <w:tblGrid>
        <w:gridCol w:w="817"/>
        <w:gridCol w:w="3307"/>
        <w:gridCol w:w="6725"/>
      </w:tblGrid>
      <w:tr w:rsidR="004B1EB5" w:rsidRPr="004B1EB5" w:rsidTr="004207B6">
        <w:trPr>
          <w:jc w:val="center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No.</w:t>
            </w:r>
          </w:p>
        </w:tc>
        <w:tc>
          <w:tcPr>
            <w:tcW w:w="3307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6725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EVIDENCIAS A SOLICITAR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1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Plan de Mejora Continua (PMC)de las Coordinaciones de Zona</w:t>
            </w:r>
          </w:p>
        </w:tc>
        <w:tc>
          <w:tcPr>
            <w:tcW w:w="6725" w:type="dxa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PMC Validado Ciclo Escolar vigente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ind w:left="187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Reporte del Primer Momento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ind w:left="187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Reporte del Segundo Momento 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Evidencias para cumplir Metas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2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Reuniones de Directores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Minuta y Acuerdos de la Reunión de Directores de Planeación del Semestre</w:t>
            </w:r>
          </w:p>
        </w:tc>
      </w:tr>
      <w:tr w:rsidR="004B1EB5" w:rsidRPr="004B1EB5" w:rsidTr="004B1EB5">
        <w:trPr>
          <w:trHeight w:val="302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Evidencias de Reuniones mensuales de Directores 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3</w:t>
            </w:r>
          </w:p>
        </w:tc>
        <w:tc>
          <w:tcPr>
            <w:tcW w:w="3307" w:type="dxa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Programa de Metas Anuales (PMA)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Evidencias de cumplimiento de las actividades registradas cada mes en el Programa de Seguimiento y Evaluación del Programa de Metas Anuales (PSEPMA). 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4</w:t>
            </w:r>
          </w:p>
        </w:tc>
        <w:tc>
          <w:tcPr>
            <w:tcW w:w="3307" w:type="dxa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Comunicación Interna y Externa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Revisión de los procesos de comunicación impresa y en electrónico a Oficinas Centrales y a Planteles.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5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Documentación General del Área Académica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Calendario Escolar vigente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Cronograma de Actividades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Reglamento  Escolar vigente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Calendario de exámenes 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Proceso de Fotocopiado de exámenes 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6</w:t>
            </w:r>
          </w:p>
        </w:tc>
        <w:tc>
          <w:tcPr>
            <w:tcW w:w="3307" w:type="dxa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Programas de Estudio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Evidencia del envío vía correo electrónico a los planteles de los Programas de estudio actualizados y vigentes de las Unidades de Aprendizaje Curricular.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7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Supervisión Integral a  Planteles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Carpeta Concentradora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Cronograma de Supervisiones a Planteles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Guía de supervisión integral a los planteles adscritos a la Zona (semestre vigente)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Guía de supervisión integral a los planteles adscritos a la Zona (semestre anterior)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Observaciones y acciones de Mejora de las supervisiones integrales realizadas a planteles.</w:t>
            </w:r>
          </w:p>
        </w:tc>
      </w:tr>
      <w:tr w:rsidR="004B1EB5" w:rsidRPr="004B1EB5" w:rsidTr="004207B6">
        <w:trPr>
          <w:jc w:val="center"/>
        </w:trPr>
        <w:tc>
          <w:tcPr>
            <w:tcW w:w="81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i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Seguimiento del Procedimiento Operativo “Supervisiones Académicas” en los Planteles adscritos a la Zona.</w:t>
            </w:r>
          </w:p>
        </w:tc>
      </w:tr>
    </w:tbl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F030AE" w:rsidRDefault="00F030AE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tbl>
      <w:tblPr>
        <w:tblStyle w:val="Tablaconcuadrcula"/>
        <w:tblW w:w="10849" w:type="dxa"/>
        <w:jc w:val="center"/>
        <w:tblLook w:val="04A0" w:firstRow="1" w:lastRow="0" w:firstColumn="1" w:lastColumn="0" w:noHBand="0" w:noVBand="1"/>
      </w:tblPr>
      <w:tblGrid>
        <w:gridCol w:w="817"/>
        <w:gridCol w:w="3307"/>
        <w:gridCol w:w="6725"/>
      </w:tblGrid>
      <w:tr w:rsidR="004B1EB5" w:rsidRPr="004B1EB5" w:rsidTr="004207B6">
        <w:trPr>
          <w:jc w:val="center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No.</w:t>
            </w:r>
          </w:p>
        </w:tc>
        <w:tc>
          <w:tcPr>
            <w:tcW w:w="3307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6725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EVIDENCIAS A SOLICITAR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8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Planeación Académica:</w:t>
            </w:r>
          </w:p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Difusión del Servicio Educativo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Evidencia de solicitud del Plan Anual del Servicio Educativo en Planteles. 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Evidencia de los Reportes del Plan Anual de Difusión del Servicio Educativo adscritos a la Zona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9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Evaluación Educativa:</w:t>
            </w:r>
          </w:p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Indicadores Educativos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Reporte de Indicadores Educativos: Aprobación, Reprobación (por semestre y ciclo escolar), Abandono Escolar (ciclo escolar) y Eficiencia Terminal (generacional) por plantel y zona.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Estrategias a Implementar como Zona y seguimiento a las estrategias de los Planteles adscritos a la Zona 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contextualSpacing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Instrumento de evaluación de la estrategia implementada (Seguimiento al Apartado IV del Reporte de Indicadores Educativos) de la Zona y Planteles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contextualSpacing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Evidencias de las Acciones de Mejora.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10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Sistema de Gestión de la Excelencia Educativa (SGEE) de acuerdo a la Norma Internacional ISO 21001-2018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 Carpetas actualizadas:</w:t>
            </w:r>
          </w:p>
          <w:p w:rsidR="004B1EB5" w:rsidRPr="004B1EB5" w:rsidRDefault="004B1EB5" w:rsidP="004B1E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Carpeta I: Información documentada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B1EB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Carpeta II: Información documentada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</w:tcPr>
          <w:p w:rsidR="004B1EB5" w:rsidRPr="004B1EB5" w:rsidRDefault="004B1EB5" w:rsidP="004207B6">
            <w:pPr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Carteles de Difusión actualizados:</w:t>
            </w:r>
          </w:p>
          <w:p w:rsidR="004B1EB5" w:rsidRPr="004B1EB5" w:rsidRDefault="004B1EB5" w:rsidP="004B1EB5">
            <w:pPr>
              <w:pStyle w:val="Prrafodelista"/>
              <w:numPr>
                <w:ilvl w:val="0"/>
                <w:numId w:val="3"/>
              </w:numPr>
              <w:ind w:left="736" w:hanging="336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Misión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</w:tcPr>
          <w:p w:rsidR="004B1EB5" w:rsidRPr="004B1EB5" w:rsidRDefault="004B1EB5" w:rsidP="004B1EB5">
            <w:pPr>
              <w:pStyle w:val="Prrafodelista"/>
              <w:numPr>
                <w:ilvl w:val="0"/>
                <w:numId w:val="3"/>
              </w:numPr>
              <w:ind w:left="722" w:hanging="322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Visión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</w:tcPr>
          <w:p w:rsidR="004B1EB5" w:rsidRPr="004B1EB5" w:rsidRDefault="004B1EB5" w:rsidP="004B1EB5">
            <w:pPr>
              <w:pStyle w:val="Prrafodelista"/>
              <w:numPr>
                <w:ilvl w:val="0"/>
                <w:numId w:val="3"/>
              </w:numPr>
              <w:ind w:left="722" w:hanging="322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Alcance del SGEE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</w:tcPr>
          <w:p w:rsidR="004B1EB5" w:rsidRPr="004B1EB5" w:rsidRDefault="004B1EB5" w:rsidP="004B1EB5">
            <w:pPr>
              <w:pStyle w:val="Prrafodelista"/>
              <w:numPr>
                <w:ilvl w:val="0"/>
                <w:numId w:val="3"/>
              </w:numPr>
              <w:ind w:left="722" w:hanging="322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Principios del SGEE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</w:tcPr>
          <w:p w:rsidR="004B1EB5" w:rsidRPr="004B1EB5" w:rsidRDefault="004B1EB5" w:rsidP="004B1EB5">
            <w:pPr>
              <w:pStyle w:val="Prrafodelista"/>
              <w:numPr>
                <w:ilvl w:val="0"/>
                <w:numId w:val="3"/>
              </w:numPr>
              <w:ind w:left="722" w:hanging="336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Política de la Gestión de la Excelencia Educativa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</w:tcPr>
          <w:p w:rsidR="004B1EB5" w:rsidRPr="004B1EB5" w:rsidRDefault="004B1EB5" w:rsidP="004B1EB5">
            <w:pPr>
              <w:pStyle w:val="Prrafodelista"/>
              <w:numPr>
                <w:ilvl w:val="0"/>
                <w:numId w:val="3"/>
              </w:numPr>
              <w:ind w:left="750" w:hanging="36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Objetivos de la Gestión de la Excelencia Educativa 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</w:tcPr>
          <w:p w:rsidR="004B1EB5" w:rsidRPr="004B1EB5" w:rsidRDefault="004B1EB5" w:rsidP="004B1EB5">
            <w:pPr>
              <w:pStyle w:val="Prrafodelista"/>
              <w:numPr>
                <w:ilvl w:val="0"/>
                <w:numId w:val="3"/>
              </w:numPr>
              <w:ind w:left="736" w:hanging="350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Mapa de Procesos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Auditorías Internas y Externas:</w:t>
            </w:r>
          </w:p>
          <w:p w:rsidR="004B1EB5" w:rsidRPr="004B1EB5" w:rsidRDefault="004B1EB5" w:rsidP="004B1E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Acciones Correctivas en caso de haber tenido No conformidades </w:t>
            </w:r>
          </w:p>
          <w:p w:rsidR="004B1EB5" w:rsidRPr="004B1EB5" w:rsidRDefault="004B1EB5" w:rsidP="004B1EB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Seguimiento de Auditorías a los Planteles 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Objetivos de la Gestión de la Excelencia Educativa. Seguimiento y Evidencias de cumplimiento.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  <w:vAlign w:val="center"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Seguimiento a la Encuesta de Satisfacción del Estudiante de los Planteles.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11</w:t>
            </w:r>
          </w:p>
        </w:tc>
        <w:tc>
          <w:tcPr>
            <w:tcW w:w="3307" w:type="dxa"/>
            <w:vAlign w:val="center"/>
          </w:tcPr>
          <w:p w:rsidR="004B1EB5" w:rsidRPr="004B1EB5" w:rsidRDefault="004B1EB5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Olimpiadas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Organización y seguimiento a las Olimpiadas de Arte, Cultura y Deporte en su fase Regional y Estatal.</w:t>
            </w:r>
          </w:p>
        </w:tc>
      </w:tr>
    </w:tbl>
    <w:p w:rsidR="004B1EB5" w:rsidRDefault="004B1EB5" w:rsidP="004B1EB5"/>
    <w:p w:rsidR="004B1EB5" w:rsidRDefault="004B1EB5" w:rsidP="004B1EB5"/>
    <w:p w:rsidR="004B1EB5" w:rsidRDefault="004B1EB5" w:rsidP="004B1EB5"/>
    <w:p w:rsidR="004B1EB5" w:rsidRDefault="004B1EB5" w:rsidP="004B1EB5"/>
    <w:p w:rsidR="004B1EB5" w:rsidRDefault="004B1EB5" w:rsidP="004B1EB5"/>
    <w:p w:rsidR="004B1EB5" w:rsidRDefault="004B1EB5" w:rsidP="004B1EB5"/>
    <w:p w:rsidR="004B1EB5" w:rsidRDefault="004B1EB5" w:rsidP="004B1EB5"/>
    <w:p w:rsidR="00F030AE" w:rsidRDefault="00F030AE" w:rsidP="004B1EB5"/>
    <w:p w:rsidR="00F030AE" w:rsidRDefault="00F030AE" w:rsidP="004B1EB5">
      <w:bookmarkStart w:id="0" w:name="_GoBack"/>
      <w:bookmarkEnd w:id="0"/>
    </w:p>
    <w:p w:rsidR="004B1EB5" w:rsidRDefault="004B1EB5" w:rsidP="004B1EB5"/>
    <w:p w:rsidR="004B1EB5" w:rsidRDefault="004B1EB5" w:rsidP="004B1EB5"/>
    <w:p w:rsidR="004B1EB5" w:rsidRDefault="004B1EB5" w:rsidP="004B1EB5"/>
    <w:tbl>
      <w:tblPr>
        <w:tblStyle w:val="Tablaconcuadrcula"/>
        <w:tblW w:w="10849" w:type="dxa"/>
        <w:jc w:val="center"/>
        <w:tblLook w:val="04A0" w:firstRow="1" w:lastRow="0" w:firstColumn="1" w:lastColumn="0" w:noHBand="0" w:noVBand="1"/>
      </w:tblPr>
      <w:tblGrid>
        <w:gridCol w:w="817"/>
        <w:gridCol w:w="3307"/>
        <w:gridCol w:w="6725"/>
      </w:tblGrid>
      <w:tr w:rsidR="004B1EB5" w:rsidRPr="004B1EB5" w:rsidTr="004207B6">
        <w:trPr>
          <w:jc w:val="center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No.</w:t>
            </w:r>
          </w:p>
        </w:tc>
        <w:tc>
          <w:tcPr>
            <w:tcW w:w="3307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ASPECTOS GENERALES A SUPERVISAR</w:t>
            </w:r>
          </w:p>
        </w:tc>
        <w:tc>
          <w:tcPr>
            <w:tcW w:w="6725" w:type="dxa"/>
            <w:shd w:val="clear" w:color="auto" w:fill="BFBFBF" w:themeFill="background1" w:themeFillShade="BF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b/>
                <w:sz w:val="24"/>
                <w:szCs w:val="24"/>
                <w:lang w:val="es-ES"/>
              </w:rPr>
              <w:t>EVIDENCIAS A SOLICITAR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 w:val="restart"/>
            <w:vAlign w:val="center"/>
          </w:tcPr>
          <w:p w:rsidR="004B1EB5" w:rsidRPr="004B1EB5" w:rsidRDefault="004B1EB5" w:rsidP="004207B6">
            <w:pPr>
              <w:jc w:val="center"/>
              <w:rPr>
                <w:rFonts w:ascii="Arial Narrow" w:hAnsi="Arial Narrow" w:cs="Arial"/>
                <w:sz w:val="24"/>
                <w:szCs w:val="24"/>
                <w:lang w:val="es-ES"/>
              </w:rPr>
            </w:pPr>
            <w:r w:rsidRPr="004B1EB5">
              <w:rPr>
                <w:rFonts w:ascii="Arial Narrow" w:hAnsi="Arial Narrow" w:cs="Arial"/>
                <w:sz w:val="24"/>
                <w:szCs w:val="24"/>
                <w:lang w:val="es-ES"/>
              </w:rPr>
              <w:t>12</w:t>
            </w:r>
          </w:p>
        </w:tc>
        <w:tc>
          <w:tcPr>
            <w:tcW w:w="3307" w:type="dxa"/>
            <w:vMerge w:val="restart"/>
            <w:vAlign w:val="center"/>
          </w:tcPr>
          <w:p w:rsidR="004B1EB5" w:rsidRPr="004B1EB5" w:rsidRDefault="004B1EB5" w:rsidP="004207B6">
            <w:pPr>
              <w:ind w:left="108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Asuntos Administrativos</w:t>
            </w: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Estatus que guardan las Tiendas Escolares en Planteles.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Seguimiento a la Asociación de Padres de Familia.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Gestiones de Seguimiento para la Infraestructura Física en Planteles.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 xml:space="preserve">Estatus y organización de la venta de boletos del Sorteo COBAEV, en el momento de la supervisión presencial a la Coordinación de Zona. </w:t>
            </w:r>
          </w:p>
        </w:tc>
      </w:tr>
      <w:tr w:rsidR="004B1EB5" w:rsidRPr="004B1EB5" w:rsidTr="004207B6">
        <w:trPr>
          <w:trHeight w:val="369"/>
          <w:jc w:val="center"/>
        </w:trPr>
        <w:tc>
          <w:tcPr>
            <w:tcW w:w="817" w:type="dxa"/>
            <w:vMerge/>
            <w:vAlign w:val="center"/>
          </w:tcPr>
          <w:p w:rsidR="004B1EB5" w:rsidRPr="004B1EB5" w:rsidRDefault="004B1EB5" w:rsidP="004207B6">
            <w:pPr>
              <w:rPr>
                <w:rFonts w:ascii="Arial Narrow" w:hAnsi="Arial Narrow" w:cs="Arial"/>
                <w:sz w:val="24"/>
                <w:szCs w:val="24"/>
                <w:lang w:val="es-ES"/>
              </w:rPr>
            </w:pPr>
          </w:p>
        </w:tc>
        <w:tc>
          <w:tcPr>
            <w:tcW w:w="3307" w:type="dxa"/>
            <w:vMerge/>
          </w:tcPr>
          <w:p w:rsidR="004B1EB5" w:rsidRPr="004B1EB5" w:rsidRDefault="004B1EB5" w:rsidP="004207B6">
            <w:pPr>
              <w:ind w:left="108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6725" w:type="dxa"/>
            <w:vAlign w:val="center"/>
          </w:tcPr>
          <w:p w:rsidR="004B1EB5" w:rsidRPr="004B1EB5" w:rsidRDefault="004B1EB5" w:rsidP="004207B6">
            <w:pPr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B1EB5">
              <w:rPr>
                <w:rFonts w:ascii="Arial Narrow" w:eastAsia="Calibri" w:hAnsi="Arial Narrow" w:cs="Arial"/>
                <w:sz w:val="24"/>
                <w:szCs w:val="24"/>
              </w:rPr>
              <w:t>Seguimiento al procedimiento operativo “Envío y recepción de documentación y paquetes”.</w:t>
            </w:r>
          </w:p>
        </w:tc>
      </w:tr>
    </w:tbl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4B1EB5" w:rsidRDefault="004B1EB5" w:rsidP="004B1EB5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p w:rsidR="00832284" w:rsidRDefault="00832284" w:rsidP="00DB5124">
      <w:pPr>
        <w:jc w:val="center"/>
        <w:rPr>
          <w:rFonts w:ascii="Arial Narrow" w:hAnsi="Arial Narrow" w:cs="Arial"/>
          <w:b/>
          <w:sz w:val="24"/>
          <w:szCs w:val="24"/>
          <w:lang w:val="es-ES"/>
        </w:rPr>
      </w:pPr>
    </w:p>
    <w:sectPr w:rsidR="00832284" w:rsidSect="00741F2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AE5" w:rsidRDefault="00AC1AE5" w:rsidP="00DB5124">
      <w:r>
        <w:separator/>
      </w:r>
    </w:p>
  </w:endnote>
  <w:endnote w:type="continuationSeparator" w:id="0">
    <w:p w:rsidR="00AC1AE5" w:rsidRDefault="00AC1AE5" w:rsidP="00DB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654" w:rsidRDefault="004B1EB5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19B413F4" wp14:editId="2C6E46FE">
          <wp:simplePos x="0" y="0"/>
          <wp:positionH relativeFrom="column">
            <wp:posOffset>5286375</wp:posOffset>
          </wp:positionH>
          <wp:positionV relativeFrom="paragraph">
            <wp:posOffset>-314325</wp:posOffset>
          </wp:positionV>
          <wp:extent cx="420330" cy="582930"/>
          <wp:effectExtent l="0" t="0" r="0" b="0"/>
          <wp:wrapNone/>
          <wp:docPr id="1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AE5" w:rsidRDefault="00AC1AE5" w:rsidP="00DB5124">
      <w:r>
        <w:separator/>
      </w:r>
    </w:p>
  </w:footnote>
  <w:footnote w:type="continuationSeparator" w:id="0">
    <w:p w:rsidR="00AC1AE5" w:rsidRDefault="00AC1AE5" w:rsidP="00DB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24" w:rsidRDefault="001A5CE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-288290</wp:posOffset>
          </wp:positionH>
          <wp:positionV relativeFrom="paragraph">
            <wp:posOffset>-198120</wp:posOffset>
          </wp:positionV>
          <wp:extent cx="2924175" cy="65151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F91"/>
    <w:multiLevelType w:val="hybridMultilevel"/>
    <w:tmpl w:val="5D82B16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C0C2527"/>
    <w:multiLevelType w:val="hybridMultilevel"/>
    <w:tmpl w:val="FB72ED2C"/>
    <w:lvl w:ilvl="0" w:tplc="08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0F851BA"/>
    <w:multiLevelType w:val="hybridMultilevel"/>
    <w:tmpl w:val="37EE0D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36D8"/>
    <w:multiLevelType w:val="hybridMultilevel"/>
    <w:tmpl w:val="5BB22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24"/>
    <w:rsid w:val="001A5CE5"/>
    <w:rsid w:val="002250EC"/>
    <w:rsid w:val="00265C45"/>
    <w:rsid w:val="003324A5"/>
    <w:rsid w:val="00340A23"/>
    <w:rsid w:val="003556CC"/>
    <w:rsid w:val="00394FDA"/>
    <w:rsid w:val="003A051B"/>
    <w:rsid w:val="003E4541"/>
    <w:rsid w:val="004B1EB5"/>
    <w:rsid w:val="0053448D"/>
    <w:rsid w:val="00535BA6"/>
    <w:rsid w:val="00567B56"/>
    <w:rsid w:val="00666FE5"/>
    <w:rsid w:val="006D76E3"/>
    <w:rsid w:val="00703B5F"/>
    <w:rsid w:val="0072337B"/>
    <w:rsid w:val="00741F29"/>
    <w:rsid w:val="00747602"/>
    <w:rsid w:val="007F0646"/>
    <w:rsid w:val="00817B0D"/>
    <w:rsid w:val="00832284"/>
    <w:rsid w:val="008701DB"/>
    <w:rsid w:val="008A25FE"/>
    <w:rsid w:val="00912515"/>
    <w:rsid w:val="0093100F"/>
    <w:rsid w:val="00951986"/>
    <w:rsid w:val="009961F6"/>
    <w:rsid w:val="00A527F0"/>
    <w:rsid w:val="00AC1AE5"/>
    <w:rsid w:val="00AE2864"/>
    <w:rsid w:val="00AE2B91"/>
    <w:rsid w:val="00AF4CE1"/>
    <w:rsid w:val="00B3135B"/>
    <w:rsid w:val="00C23DC1"/>
    <w:rsid w:val="00C9227E"/>
    <w:rsid w:val="00D9685E"/>
    <w:rsid w:val="00DB5124"/>
    <w:rsid w:val="00E43472"/>
    <w:rsid w:val="00E619FD"/>
    <w:rsid w:val="00E62CB9"/>
    <w:rsid w:val="00EA4D2A"/>
    <w:rsid w:val="00EB1188"/>
    <w:rsid w:val="00EB6B48"/>
    <w:rsid w:val="00ED3F96"/>
    <w:rsid w:val="00F030AE"/>
    <w:rsid w:val="00F15209"/>
    <w:rsid w:val="00F24654"/>
    <w:rsid w:val="00F65A79"/>
    <w:rsid w:val="00F9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6490D"/>
  <w15:docId w15:val="{3E8D741C-FAFF-4008-96EB-8B31FE9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24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5124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512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51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51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B51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51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2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7E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3</cp:revision>
  <cp:lastPrinted>2018-11-27T20:31:00Z</cp:lastPrinted>
  <dcterms:created xsi:type="dcterms:W3CDTF">2025-01-07T19:27:00Z</dcterms:created>
  <dcterms:modified xsi:type="dcterms:W3CDTF">2025-01-07T19:28:00Z</dcterms:modified>
</cp:coreProperties>
</file>