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E1" w:rsidRDefault="00D701E1" w:rsidP="00D701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</w:pPr>
    </w:p>
    <w:p w:rsidR="00D701E1" w:rsidRPr="00C10915" w:rsidRDefault="00D701E1" w:rsidP="00D701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ES" w:eastAsia="es-ES"/>
        </w:rPr>
      </w:pPr>
      <w:r w:rsidRPr="00C10915"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 xml:space="preserve">Reporte de </w:t>
      </w:r>
      <w:r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>s</w:t>
      </w:r>
      <w:r w:rsidRPr="00C10915"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 xml:space="preserve">ervicio </w:t>
      </w:r>
      <w:r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>n</w:t>
      </w:r>
      <w:r w:rsidRPr="00C10915"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 xml:space="preserve">o </w:t>
      </w:r>
      <w:r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>c</w:t>
      </w:r>
      <w:r w:rsidRPr="00C10915">
        <w:rPr>
          <w:rFonts w:ascii="Arial Narrow" w:eastAsia="Times New Roman" w:hAnsi="Arial Narrow" w:cs="Arial"/>
          <w:b/>
          <w:iCs/>
          <w:smallCaps/>
          <w:sz w:val="26"/>
          <w:szCs w:val="26"/>
          <w:lang w:val="es-ES" w:eastAsia="es-ES"/>
        </w:rPr>
        <w:t xml:space="preserve">onforme </w:t>
      </w:r>
    </w:p>
    <w:p w:rsidR="00D701E1" w:rsidRPr="00C10915" w:rsidRDefault="00D701E1" w:rsidP="00D701E1">
      <w:pPr>
        <w:spacing w:after="0" w:line="240" w:lineRule="auto"/>
        <w:ind w:left="284" w:right="193" w:hanging="1"/>
        <w:jc w:val="center"/>
        <w:rPr>
          <w:rFonts w:ascii="Arial Narrow" w:eastAsia="Times New Roman" w:hAnsi="Arial Narrow" w:cs="Arial"/>
          <w:b/>
          <w:iCs/>
          <w:smallCaps/>
          <w:sz w:val="24"/>
          <w:szCs w:val="20"/>
          <w:lang w:val="es-ES" w:eastAsia="es-ES"/>
        </w:rPr>
      </w:pPr>
    </w:p>
    <w:p w:rsidR="00D701E1" w:rsidRPr="00E243F3" w:rsidRDefault="00D701E1" w:rsidP="00D701E1">
      <w:pPr>
        <w:spacing w:after="0" w:line="240" w:lineRule="auto"/>
        <w:ind w:left="-709" w:right="193"/>
        <w:rPr>
          <w:rFonts w:ascii="Arial Narrow" w:eastAsia="Times New Roman" w:hAnsi="Arial Narrow" w:cs="Arial"/>
          <w:b/>
          <w:bCs/>
          <w:iCs/>
          <w:lang w:val="es-ES" w:eastAsia="es-ES"/>
        </w:rPr>
      </w:pP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Fecha de registro de </w:t>
      </w:r>
      <w:r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la </w:t>
      </w: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información:   </w:t>
      </w:r>
    </w:p>
    <w:p w:rsidR="00D701E1" w:rsidRPr="00E243F3" w:rsidRDefault="00D701E1" w:rsidP="00D701E1">
      <w:pPr>
        <w:spacing w:after="0" w:line="240" w:lineRule="auto"/>
        <w:ind w:left="-709" w:right="193"/>
        <w:rPr>
          <w:rFonts w:ascii="Arial Narrow" w:eastAsia="Times New Roman" w:hAnsi="Arial Narrow" w:cs="Arial"/>
          <w:b/>
          <w:bCs/>
          <w:iCs/>
          <w:lang w:val="es-ES" w:eastAsia="es-ES"/>
        </w:rPr>
      </w:pP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Centro de </w:t>
      </w:r>
      <w:r>
        <w:rPr>
          <w:rFonts w:ascii="Arial Narrow" w:eastAsia="Times New Roman" w:hAnsi="Arial Narrow" w:cs="Arial"/>
          <w:b/>
          <w:bCs/>
          <w:iCs/>
          <w:lang w:val="es-ES" w:eastAsia="es-ES"/>
        </w:rPr>
        <w:t>t</w:t>
      </w: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>rabajo:</w:t>
      </w: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ab/>
        <w:t xml:space="preserve">    </w:t>
      </w: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ab/>
        <w:t xml:space="preserve">       </w:t>
      </w:r>
    </w:p>
    <w:p w:rsidR="00D701E1" w:rsidRPr="00E243F3" w:rsidRDefault="00D701E1" w:rsidP="00D701E1">
      <w:pPr>
        <w:spacing w:after="0" w:line="240" w:lineRule="auto"/>
        <w:ind w:left="-709" w:right="193"/>
        <w:rPr>
          <w:rFonts w:ascii="Arial Narrow" w:eastAsia="Times New Roman" w:hAnsi="Arial Narrow" w:cs="Arial"/>
          <w:b/>
          <w:lang w:val="es-ES" w:eastAsia="es-ES"/>
        </w:rPr>
      </w:pPr>
      <w:r w:rsidRPr="00E243F3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Bimestre </w:t>
      </w:r>
      <w:r w:rsidRPr="00E243F3">
        <w:rPr>
          <w:rFonts w:ascii="Arial Narrow" w:eastAsia="Times New Roman" w:hAnsi="Arial Narrow" w:cs="Arial"/>
          <w:b/>
          <w:lang w:val="es-ES" w:eastAsia="es-ES"/>
        </w:rPr>
        <w:t xml:space="preserve">que se reporta: </w:t>
      </w:r>
    </w:p>
    <w:p w:rsidR="00D701E1" w:rsidRPr="00C10915" w:rsidRDefault="00D701E1" w:rsidP="00D701E1">
      <w:pPr>
        <w:spacing w:after="0" w:line="240" w:lineRule="auto"/>
        <w:ind w:left="-360" w:right="193"/>
        <w:rPr>
          <w:rFonts w:ascii="Arial Narrow" w:eastAsia="Times New Roman" w:hAnsi="Arial Narrow" w:cs="Arial"/>
          <w:bCs/>
          <w:iCs/>
          <w:sz w:val="12"/>
          <w:szCs w:val="12"/>
          <w:lang w:val="es-ES" w:eastAsia="es-ES"/>
        </w:rPr>
      </w:pPr>
    </w:p>
    <w:tbl>
      <w:tblPr>
        <w:tblpPr w:leftFromText="141" w:rightFromText="141" w:vertAnchor="text" w:horzAnchor="margin" w:tblpXSpec="center" w:tblpY="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632"/>
        <w:gridCol w:w="1560"/>
        <w:gridCol w:w="709"/>
        <w:gridCol w:w="709"/>
        <w:gridCol w:w="658"/>
        <w:gridCol w:w="622"/>
        <w:gridCol w:w="1838"/>
      </w:tblGrid>
      <w:tr w:rsidR="00D701E1" w:rsidRPr="00EE439C" w:rsidTr="00446816">
        <w:trPr>
          <w:trHeight w:val="528"/>
        </w:trPr>
        <w:tc>
          <w:tcPr>
            <w:tcW w:w="1899" w:type="dxa"/>
            <w:vMerge w:val="restart"/>
            <w:shd w:val="clear" w:color="auto" w:fill="CCCCCC"/>
            <w:vAlign w:val="center"/>
          </w:tcPr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>Proceso/</w:t>
            </w:r>
          </w:p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 xml:space="preserve">Procedimiento operativo </w:t>
            </w:r>
          </w:p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(1)</w:t>
            </w:r>
          </w:p>
        </w:tc>
        <w:tc>
          <w:tcPr>
            <w:tcW w:w="2632" w:type="dxa"/>
            <w:vMerge w:val="restart"/>
            <w:shd w:val="clear" w:color="auto" w:fill="CCCCCC"/>
            <w:vAlign w:val="center"/>
          </w:tcPr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 xml:space="preserve">Servicio no conforme </w:t>
            </w:r>
          </w:p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(2)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014A85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>Número de casos</w:t>
            </w: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en los que se</w:t>
            </w: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 xml:space="preserve"> presentó el Servicio no conforme</w:t>
            </w: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(3)</w:t>
            </w:r>
          </w:p>
        </w:tc>
        <w:tc>
          <w:tcPr>
            <w:tcW w:w="1418" w:type="dxa"/>
            <w:gridSpan w:val="2"/>
            <w:shd w:val="clear" w:color="auto" w:fill="CCCCCC"/>
          </w:tcPr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>¿el Servicio no conforme es grave?</w:t>
            </w:r>
          </w:p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(4)</w:t>
            </w:r>
          </w:p>
        </w:tc>
        <w:tc>
          <w:tcPr>
            <w:tcW w:w="1280" w:type="dxa"/>
            <w:gridSpan w:val="2"/>
            <w:shd w:val="clear" w:color="auto" w:fill="CCCCCC"/>
          </w:tcPr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>¿Se requiere acción correctiva?</w:t>
            </w:r>
          </w:p>
          <w:p w:rsidR="00D701E1" w:rsidRPr="00014A85" w:rsidRDefault="00D701E1" w:rsidP="00446816">
            <w:pPr>
              <w:spacing w:after="0" w:line="240" w:lineRule="auto"/>
              <w:ind w:right="405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 xml:space="preserve">             </w:t>
            </w: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(5)</w:t>
            </w:r>
          </w:p>
        </w:tc>
        <w:tc>
          <w:tcPr>
            <w:tcW w:w="1838" w:type="dxa"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014A85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</w:pPr>
            <w:r w:rsidRPr="00014A85">
              <w:rPr>
                <w:rFonts w:ascii="Arial Narrow" w:eastAsia="Times New Roman" w:hAnsi="Arial Narrow" w:cs="Times New Roman"/>
                <w:b/>
                <w:bCs/>
                <w:smallCaps/>
                <w:sz w:val="19"/>
                <w:szCs w:val="19"/>
                <w:lang w:val="es-ES_tradnl" w:eastAsia="es-ES"/>
              </w:rPr>
              <w:t>Comentarios</w:t>
            </w:r>
          </w:p>
        </w:tc>
      </w:tr>
      <w:tr w:rsidR="00D701E1" w:rsidRPr="00EE439C" w:rsidTr="00446816">
        <w:trPr>
          <w:trHeight w:val="70"/>
        </w:trPr>
        <w:tc>
          <w:tcPr>
            <w:tcW w:w="1899" w:type="dxa"/>
            <w:vMerge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632" w:type="dxa"/>
            <w:vMerge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1560" w:type="dxa"/>
            <w:vMerge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709" w:type="dxa"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 xml:space="preserve">      Sí</w:t>
            </w: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ab/>
            </w:r>
          </w:p>
        </w:tc>
        <w:tc>
          <w:tcPr>
            <w:tcW w:w="709" w:type="dxa"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No</w:t>
            </w:r>
          </w:p>
        </w:tc>
        <w:tc>
          <w:tcPr>
            <w:tcW w:w="658" w:type="dxa"/>
            <w:shd w:val="clear" w:color="auto" w:fill="CCCCCC"/>
            <w:vAlign w:val="center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Sí</w:t>
            </w: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622" w:type="dxa"/>
            <w:shd w:val="clear" w:color="auto" w:fill="CCCCCC"/>
            <w:vAlign w:val="center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  <w:r w:rsidRPr="00EE439C"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  <w:t>No</w:t>
            </w: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1838" w:type="dxa"/>
            <w:shd w:val="clear" w:color="auto" w:fill="CCCCCC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</w:tr>
      <w:tr w:rsidR="00D701E1" w:rsidRPr="00EE439C" w:rsidTr="00446816">
        <w:trPr>
          <w:trHeight w:val="1575"/>
        </w:trPr>
        <w:tc>
          <w:tcPr>
            <w:tcW w:w="1899" w:type="dxa"/>
          </w:tcPr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2632" w:type="dxa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1560" w:type="dxa"/>
          </w:tcPr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val="es-ES_tradnl" w:eastAsia="es-ES"/>
              </w:rPr>
            </w:pPr>
          </w:p>
        </w:tc>
        <w:tc>
          <w:tcPr>
            <w:tcW w:w="709" w:type="dxa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709" w:type="dxa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658" w:type="dxa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622" w:type="dxa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  <w:tc>
          <w:tcPr>
            <w:tcW w:w="1838" w:type="dxa"/>
          </w:tcPr>
          <w:p w:rsidR="00D701E1" w:rsidRPr="00EE439C" w:rsidRDefault="00D701E1" w:rsidP="004468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mallCaps/>
                <w:sz w:val="18"/>
                <w:szCs w:val="18"/>
                <w:lang w:val="es-ES_tradnl" w:eastAsia="es-ES"/>
              </w:rPr>
            </w:pPr>
          </w:p>
        </w:tc>
      </w:tr>
    </w:tbl>
    <w:p w:rsidR="00D701E1" w:rsidRPr="00C10915" w:rsidRDefault="00D701E1" w:rsidP="00D701E1">
      <w:pPr>
        <w:spacing w:after="0" w:line="240" w:lineRule="auto"/>
        <w:rPr>
          <w:rFonts w:ascii="Arial" w:eastAsia="Times New Roman" w:hAnsi="Arial" w:cs="Arial"/>
          <w:b/>
          <w:iCs/>
          <w:smallCaps/>
          <w:sz w:val="8"/>
          <w:szCs w:val="8"/>
          <w:lang w:val="es-ES" w:eastAsia="es-ES"/>
        </w:rPr>
      </w:pPr>
      <w:r w:rsidRPr="00C10915">
        <w:rPr>
          <w:rFonts w:ascii="Arial" w:eastAsia="Times New Roman" w:hAnsi="Arial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46F16A40" wp14:editId="3685F902">
            <wp:simplePos x="0" y="0"/>
            <wp:positionH relativeFrom="column">
              <wp:posOffset>29843730</wp:posOffset>
            </wp:positionH>
            <wp:positionV relativeFrom="paragraph">
              <wp:posOffset>25667970</wp:posOffset>
            </wp:positionV>
            <wp:extent cx="600075" cy="438150"/>
            <wp:effectExtent l="1905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0915">
        <w:rPr>
          <w:rFonts w:ascii="Arial" w:eastAsia="Times New Roman" w:hAnsi="Arial" w:cs="Times New Roman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4CAEA0CF" wp14:editId="625C124B">
            <wp:simplePos x="0" y="0"/>
            <wp:positionH relativeFrom="column">
              <wp:posOffset>29843730</wp:posOffset>
            </wp:positionH>
            <wp:positionV relativeFrom="paragraph">
              <wp:posOffset>25667970</wp:posOffset>
            </wp:positionV>
            <wp:extent cx="600075" cy="438150"/>
            <wp:effectExtent l="19050" t="0" r="952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0915">
        <w:rPr>
          <w:rFonts w:ascii="Arial Narrow" w:eastAsia="Times New Roman" w:hAnsi="Arial Narrow" w:cs="Arial"/>
          <w:bCs/>
          <w:iCs/>
          <w:sz w:val="18"/>
          <w:szCs w:val="18"/>
          <w:lang w:val="es-ES" w:eastAsia="es-ES"/>
        </w:rPr>
        <w:t xml:space="preserve"> </w:t>
      </w:r>
    </w:p>
    <w:p w:rsidR="00D701E1" w:rsidRPr="00C10915" w:rsidRDefault="00D701E1" w:rsidP="00D701E1">
      <w:pPr>
        <w:spacing w:after="0" w:line="240" w:lineRule="auto"/>
        <w:ind w:left="-142" w:right="-91" w:hanging="182"/>
        <w:jc w:val="both"/>
        <w:rPr>
          <w:rFonts w:ascii="Arial" w:eastAsia="Times New Roman" w:hAnsi="Arial" w:cs="Arial"/>
          <w:b/>
          <w:iCs/>
          <w:smallCaps/>
          <w:sz w:val="18"/>
          <w:szCs w:val="18"/>
          <w:lang w:val="es-ES" w:eastAsia="es-ES"/>
        </w:rPr>
      </w:pPr>
    </w:p>
    <w:p w:rsidR="00D701E1" w:rsidRPr="00C10915" w:rsidRDefault="00D701E1" w:rsidP="00D701E1">
      <w:pPr>
        <w:spacing w:after="0" w:line="240" w:lineRule="auto"/>
        <w:ind w:right="-518"/>
        <w:jc w:val="center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D701E1" w:rsidRPr="001D2676" w:rsidRDefault="00D701E1" w:rsidP="00D701E1">
      <w:pPr>
        <w:spacing w:after="0" w:line="240" w:lineRule="auto"/>
        <w:ind w:right="193"/>
        <w:jc w:val="center"/>
        <w:rPr>
          <w:rFonts w:ascii="Arial Narrow" w:eastAsia="Times New Roman" w:hAnsi="Arial Narrow" w:cs="Arial"/>
          <w:iCs/>
          <w:smallCaps/>
          <w:lang w:val="es-ES" w:eastAsia="es-ES"/>
        </w:rPr>
      </w:pPr>
      <w:r w:rsidRPr="001D2676">
        <w:rPr>
          <w:rFonts w:ascii="Arial Narrow" w:eastAsia="Times New Roman" w:hAnsi="Arial Narrow" w:cs="Arial"/>
          <w:iCs/>
          <w:smallCaps/>
          <w:lang w:val="es-ES" w:eastAsia="es-ES"/>
        </w:rPr>
        <w:t>Aprobó</w:t>
      </w:r>
    </w:p>
    <w:p w:rsidR="00D701E1" w:rsidRPr="00C10915" w:rsidRDefault="00D701E1" w:rsidP="00D701E1">
      <w:pPr>
        <w:spacing w:after="0" w:line="240" w:lineRule="auto"/>
        <w:ind w:right="193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D701E1" w:rsidRPr="00C10915" w:rsidRDefault="00D701E1" w:rsidP="00D701E1">
      <w:pPr>
        <w:spacing w:after="0" w:line="240" w:lineRule="auto"/>
        <w:ind w:right="193"/>
        <w:rPr>
          <w:rFonts w:ascii="Arial Narrow" w:eastAsia="Times New Roman" w:hAnsi="Arial Narrow" w:cs="Arial"/>
          <w:iCs/>
          <w:sz w:val="20"/>
          <w:szCs w:val="20"/>
          <w:lang w:val="es-ES" w:eastAsia="es-ES"/>
        </w:rPr>
      </w:pPr>
    </w:p>
    <w:p w:rsidR="00D701E1" w:rsidRPr="00C10915" w:rsidRDefault="00D701E1" w:rsidP="00D701E1">
      <w:pPr>
        <w:spacing w:after="0" w:line="240" w:lineRule="auto"/>
        <w:ind w:right="193"/>
        <w:rPr>
          <w:rFonts w:ascii="Arial" w:eastAsia="Times New Roman" w:hAnsi="Arial" w:cs="Arial"/>
          <w:b/>
          <w:iCs/>
          <w:smallCaps/>
          <w:sz w:val="24"/>
          <w:szCs w:val="20"/>
          <w:lang w:val="es-ES" w:eastAsia="es-ES"/>
        </w:rPr>
      </w:pPr>
    </w:p>
    <w:p w:rsidR="00D701E1" w:rsidRPr="00C10915" w:rsidRDefault="00D701E1" w:rsidP="00D701E1">
      <w:pPr>
        <w:spacing w:after="0" w:line="240" w:lineRule="auto"/>
        <w:ind w:right="193"/>
        <w:rPr>
          <w:rFonts w:ascii="Arial" w:eastAsia="Times New Roman" w:hAnsi="Arial" w:cs="Arial"/>
          <w:b/>
          <w:iCs/>
          <w:smallCaps/>
          <w:sz w:val="24"/>
          <w:szCs w:val="20"/>
          <w:lang w:val="es-ES" w:eastAsia="es-ES"/>
        </w:rPr>
      </w:pPr>
      <w:r w:rsidRPr="00C10915">
        <w:rPr>
          <w:rFonts w:ascii="Arial Narrow" w:eastAsia="Times New Roman" w:hAnsi="Arial Narrow" w:cs="Arial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6B312" wp14:editId="2A807BA1">
                <wp:simplePos x="0" y="0"/>
                <wp:positionH relativeFrom="column">
                  <wp:posOffset>1793240</wp:posOffset>
                </wp:positionH>
                <wp:positionV relativeFrom="paragraph">
                  <wp:posOffset>105410</wp:posOffset>
                </wp:positionV>
                <wp:extent cx="1953895" cy="0"/>
                <wp:effectExtent l="6350" t="5715" r="11430" b="1333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D193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8.3pt" to="29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SUEgIAACg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"/>
            </w:pict>
          </mc:Fallback>
        </mc:AlternateContent>
      </w:r>
    </w:p>
    <w:p w:rsidR="00D701E1" w:rsidRPr="00C10915" w:rsidRDefault="00D701E1" w:rsidP="00D701E1">
      <w:pPr>
        <w:spacing w:after="0" w:line="240" w:lineRule="auto"/>
        <w:ind w:left="284" w:right="193" w:hanging="1"/>
        <w:jc w:val="center"/>
        <w:rPr>
          <w:rFonts w:ascii="Arial Narrow" w:eastAsia="Times New Roman" w:hAnsi="Arial Narrow" w:cs="Arial"/>
          <w:iCs/>
          <w:smallCaps/>
          <w:sz w:val="20"/>
          <w:szCs w:val="20"/>
          <w:lang w:val="es-ES" w:eastAsia="es-ES"/>
        </w:rPr>
      </w:pPr>
      <w:r w:rsidRPr="00C10915">
        <w:rPr>
          <w:rFonts w:ascii="Arial Narrow" w:eastAsia="Times New Roman" w:hAnsi="Arial Narrow" w:cs="Arial"/>
          <w:iCs/>
          <w:smallCaps/>
          <w:sz w:val="20"/>
          <w:szCs w:val="20"/>
          <w:lang w:val="es-ES" w:eastAsia="es-ES"/>
        </w:rPr>
        <w:t>Nombre y Firma del Titular</w:t>
      </w:r>
    </w:p>
    <w:p w:rsidR="00D701E1" w:rsidRPr="00C10915" w:rsidRDefault="00D701E1" w:rsidP="00D701E1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iCs/>
          <w:smallCaps/>
          <w:sz w:val="24"/>
          <w:szCs w:val="24"/>
          <w:lang w:val="es-ES" w:eastAsia="es-ES"/>
        </w:rPr>
      </w:pPr>
    </w:p>
    <w:p w:rsidR="00D701E1" w:rsidRDefault="00D701E1" w:rsidP="00D701E1">
      <w:pPr>
        <w:rPr>
          <w:rFonts w:ascii="Arial Narrow" w:eastAsia="Cambria" w:hAnsi="Arial Narrow" w:cs="Tahoma"/>
          <w:b/>
          <w:lang w:val="es-ES" w:eastAsia="ar-SA"/>
        </w:rPr>
      </w:pPr>
      <w:r>
        <w:rPr>
          <w:rFonts w:ascii="Arial Narrow" w:eastAsia="Cambria" w:hAnsi="Arial Narrow" w:cs="Tahoma"/>
          <w:b/>
          <w:lang w:val="es-ES" w:eastAsia="ar-SA"/>
        </w:rPr>
        <w:br w:type="page"/>
      </w:r>
    </w:p>
    <w:p w:rsidR="00D701E1" w:rsidRPr="00C10915" w:rsidRDefault="00D701E1" w:rsidP="00D701E1">
      <w:pPr>
        <w:pStyle w:val="Prrafodelista"/>
        <w:tabs>
          <w:tab w:val="left" w:pos="0"/>
        </w:tabs>
        <w:spacing w:after="0"/>
        <w:ind w:left="0" w:right="-660"/>
        <w:jc w:val="both"/>
        <w:rPr>
          <w:rFonts w:ascii="Arial Narrow" w:eastAsia="Times New Roman" w:hAnsi="Arial Narrow" w:cs="Arial"/>
          <w:b/>
          <w:bCs/>
          <w:iCs/>
          <w:lang w:val="es-ES" w:eastAsia="es-ES"/>
        </w:rPr>
      </w:pPr>
    </w:p>
    <w:p w:rsidR="00D701E1" w:rsidRPr="00EE439C" w:rsidRDefault="00D701E1" w:rsidP="00D701E1">
      <w:pPr>
        <w:pStyle w:val="Prrafodelista"/>
        <w:tabs>
          <w:tab w:val="left" w:pos="0"/>
        </w:tabs>
        <w:spacing w:after="0"/>
        <w:ind w:left="0" w:right="-660"/>
        <w:jc w:val="both"/>
        <w:rPr>
          <w:rFonts w:ascii="Arial Narrow" w:eastAsia="Times New Roman" w:hAnsi="Arial Narrow" w:cs="Arial"/>
          <w:b/>
          <w:bCs/>
          <w:iCs/>
          <w:smallCaps/>
          <w:sz w:val="24"/>
          <w:szCs w:val="24"/>
          <w:lang w:val="es-ES" w:eastAsia="es-ES"/>
        </w:rPr>
      </w:pPr>
      <w:r w:rsidRPr="00EE439C">
        <w:rPr>
          <w:rFonts w:ascii="Arial Narrow" w:eastAsia="Times New Roman" w:hAnsi="Arial Narrow" w:cs="Arial"/>
          <w:b/>
          <w:bCs/>
          <w:iCs/>
          <w:smallCaps/>
          <w:sz w:val="24"/>
          <w:szCs w:val="24"/>
          <w:lang w:val="es-ES" w:eastAsia="es-ES"/>
        </w:rPr>
        <w:t>Instrucciones para el llenado del Reporte de servicio no conforme:</w:t>
      </w:r>
    </w:p>
    <w:p w:rsidR="00D701E1" w:rsidRPr="00EE439C" w:rsidRDefault="00D701E1" w:rsidP="00D701E1">
      <w:pPr>
        <w:pStyle w:val="Prrafodelista"/>
        <w:tabs>
          <w:tab w:val="left" w:pos="0"/>
        </w:tabs>
        <w:spacing w:after="0"/>
        <w:ind w:left="0" w:right="-660"/>
        <w:jc w:val="both"/>
        <w:rPr>
          <w:rFonts w:ascii="Arial Narrow" w:eastAsia="Times New Roman" w:hAnsi="Arial Narrow" w:cs="Arial"/>
          <w:b/>
          <w:bCs/>
          <w:iCs/>
          <w:sz w:val="20"/>
          <w:szCs w:val="20"/>
          <w:lang w:val="es-ES" w:eastAsia="es-ES"/>
        </w:rPr>
      </w:pPr>
    </w:p>
    <w:p w:rsidR="00D701E1" w:rsidRPr="00EE439C" w:rsidRDefault="00D701E1" w:rsidP="00D701E1">
      <w:pPr>
        <w:pStyle w:val="Prrafodelista"/>
        <w:numPr>
          <w:ilvl w:val="0"/>
          <w:numId w:val="3"/>
        </w:numPr>
        <w:tabs>
          <w:tab w:val="left" w:pos="0"/>
        </w:tabs>
        <w:spacing w:after="0"/>
        <w:ind w:left="284" w:right="-660"/>
        <w:jc w:val="both"/>
        <w:rPr>
          <w:rFonts w:ascii="Arial Narrow" w:hAnsi="Arial Narrow"/>
          <w:kern w:val="24"/>
        </w:rPr>
      </w:pPr>
      <w:r w:rsidRPr="00EE439C">
        <w:rPr>
          <w:rFonts w:ascii="Arial Narrow" w:hAnsi="Arial Narrow"/>
          <w:kern w:val="24"/>
        </w:rPr>
        <w:t xml:space="preserve">El formato: </w:t>
      </w:r>
      <w:r w:rsidRPr="00EE439C">
        <w:rPr>
          <w:rFonts w:ascii="Arial Narrow" w:hAnsi="Arial Narrow"/>
          <w:b/>
          <w:kern w:val="24"/>
        </w:rPr>
        <w:t>Reporte de servicio no conforme</w:t>
      </w:r>
      <w:r w:rsidRPr="00EE439C">
        <w:rPr>
          <w:rFonts w:ascii="Arial Narrow" w:hAnsi="Arial Narrow"/>
          <w:kern w:val="24"/>
        </w:rPr>
        <w:t>, lo debe llenar el Responsable(s) de la Identificación de los servicios no conformes (SNC), de acuerdo</w:t>
      </w:r>
      <w:r w:rsidRPr="00EE439C">
        <w:rPr>
          <w:rFonts w:ascii="Arial Narrow" w:hAnsi="Arial Narrow"/>
          <w:b/>
          <w:kern w:val="24"/>
        </w:rPr>
        <w:t xml:space="preserve"> al Catálogo de servicios no conformes, </w:t>
      </w:r>
      <w:r w:rsidRPr="00EE439C">
        <w:rPr>
          <w:rFonts w:ascii="Arial Narrow" w:hAnsi="Arial Narrow"/>
          <w:kern w:val="24"/>
        </w:rPr>
        <w:t xml:space="preserve">incluido en el procedimiento de control del Sistema de Gestión de la Excelencia Educativa (SGEE):  Servicio no conforme. </w:t>
      </w:r>
    </w:p>
    <w:p w:rsidR="00D701E1" w:rsidRPr="00EE439C" w:rsidRDefault="00D701E1" w:rsidP="00D701E1">
      <w:pPr>
        <w:pStyle w:val="Prrafodelista"/>
        <w:tabs>
          <w:tab w:val="left" w:pos="0"/>
        </w:tabs>
        <w:spacing w:after="0"/>
        <w:ind w:left="284" w:right="-660"/>
        <w:jc w:val="both"/>
        <w:rPr>
          <w:rFonts w:ascii="Arial Narrow" w:hAnsi="Arial Narrow"/>
          <w:kern w:val="24"/>
          <w:sz w:val="18"/>
          <w:szCs w:val="18"/>
        </w:rPr>
      </w:pPr>
    </w:p>
    <w:p w:rsidR="00D701E1" w:rsidRPr="00EE439C" w:rsidRDefault="00D701E1" w:rsidP="00D701E1">
      <w:pPr>
        <w:pStyle w:val="Prrafodelista"/>
        <w:numPr>
          <w:ilvl w:val="0"/>
          <w:numId w:val="3"/>
        </w:numPr>
        <w:tabs>
          <w:tab w:val="left" w:pos="0"/>
        </w:tabs>
        <w:spacing w:after="0" w:line="360" w:lineRule="auto"/>
        <w:ind w:left="284" w:right="-660"/>
        <w:jc w:val="both"/>
        <w:rPr>
          <w:rFonts w:ascii="Arial Narrow" w:hAnsi="Arial Narrow"/>
          <w:b/>
          <w:kern w:val="24"/>
        </w:rPr>
      </w:pPr>
      <w:r w:rsidRPr="00EE439C">
        <w:rPr>
          <w:rFonts w:ascii="Arial Narrow" w:hAnsi="Arial Narrow"/>
          <w:b/>
          <w:kern w:val="24"/>
        </w:rPr>
        <w:t>Indicaciones específicas:</w:t>
      </w:r>
    </w:p>
    <w:p w:rsidR="00D701E1" w:rsidRPr="00EE439C" w:rsidRDefault="00D701E1" w:rsidP="00D701E1">
      <w:pPr>
        <w:pStyle w:val="Prrafodelista"/>
        <w:numPr>
          <w:ilvl w:val="0"/>
          <w:numId w:val="5"/>
        </w:numPr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lang w:val="es-ES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Proceso y procedimiento operativo en el que se detectó el SNC, de acuerdo al </w:t>
      </w:r>
      <w:r w:rsidRPr="00EE439C">
        <w:rPr>
          <w:rFonts w:ascii="Arial Narrow" w:eastAsia="Times New Roman" w:hAnsi="Arial Narrow" w:cs="Arial"/>
          <w:b/>
          <w:bCs/>
          <w:iCs/>
          <w:lang w:val="es-ES" w:eastAsia="es-ES"/>
        </w:rPr>
        <w:t>Catálogo de servicios no conformes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>.</w:t>
      </w:r>
    </w:p>
    <w:p w:rsidR="00D701E1" w:rsidRPr="00EE439C" w:rsidRDefault="00D701E1" w:rsidP="00D701E1">
      <w:pPr>
        <w:pStyle w:val="Prrafodelista"/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sz w:val="12"/>
          <w:szCs w:val="12"/>
          <w:lang w:val="es-ES" w:eastAsia="es-ES"/>
        </w:rPr>
      </w:pPr>
    </w:p>
    <w:p w:rsidR="00D701E1" w:rsidRPr="00EE439C" w:rsidRDefault="00D701E1" w:rsidP="00D701E1">
      <w:pPr>
        <w:pStyle w:val="Prrafodelista"/>
        <w:numPr>
          <w:ilvl w:val="0"/>
          <w:numId w:val="5"/>
        </w:numPr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lang w:val="es-ES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Anotar textualmente el tipo de SNC, como se incluye en el </w:t>
      </w:r>
      <w:r w:rsidRPr="00EE439C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Catálogo de servicio no conforme. 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>Posteriormente,</w:t>
      </w:r>
      <w:r w:rsidRPr="00EE439C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 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describir de manera resumida, el caso o los casos en los que detectó el SNC.  </w:t>
      </w:r>
    </w:p>
    <w:p w:rsidR="00D701E1" w:rsidRPr="00EE439C" w:rsidRDefault="00D701E1" w:rsidP="00D701E1">
      <w:pPr>
        <w:pStyle w:val="Prrafodelista"/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sz w:val="12"/>
          <w:szCs w:val="12"/>
          <w:lang w:val="es-ES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  </w:t>
      </w:r>
    </w:p>
    <w:p w:rsidR="00D701E1" w:rsidRPr="00EE439C" w:rsidRDefault="00D701E1" w:rsidP="00D701E1">
      <w:pPr>
        <w:pStyle w:val="Prrafodelista"/>
        <w:numPr>
          <w:ilvl w:val="0"/>
          <w:numId w:val="5"/>
        </w:numPr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lang w:val="es-ES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>Anotar el número de casos específicos detectados en el mismo SNC, en el periodo bimestral reportado.</w:t>
      </w:r>
    </w:p>
    <w:p w:rsidR="00D701E1" w:rsidRPr="00EE439C" w:rsidRDefault="00D701E1" w:rsidP="00D701E1">
      <w:pPr>
        <w:pStyle w:val="Prrafodelista"/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sz w:val="12"/>
          <w:szCs w:val="12"/>
          <w:lang w:val="es-ES" w:eastAsia="es-ES"/>
        </w:rPr>
      </w:pPr>
    </w:p>
    <w:p w:rsidR="00D701E1" w:rsidRPr="00EE439C" w:rsidRDefault="00D701E1" w:rsidP="00D701E1">
      <w:pPr>
        <w:pStyle w:val="Prrafodelista"/>
        <w:numPr>
          <w:ilvl w:val="0"/>
          <w:numId w:val="5"/>
        </w:numPr>
        <w:spacing w:after="0" w:line="240" w:lineRule="auto"/>
        <w:ind w:left="284" w:right="-660"/>
        <w:jc w:val="both"/>
        <w:rPr>
          <w:rFonts w:ascii="Arial Narrow" w:eastAsia="Times New Roman" w:hAnsi="Arial Narrow" w:cs="Arial"/>
          <w:snapToGrid w:val="0"/>
          <w:lang w:val="es-ES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>Determinar si el Servicio</w:t>
      </w:r>
      <w:r w:rsidRPr="00EE439C">
        <w:rPr>
          <w:rFonts w:ascii="Arial Narrow" w:eastAsia="Times New Roman" w:hAnsi="Arial Narrow" w:cs="Arial"/>
          <w:b/>
          <w:bCs/>
          <w:iCs/>
          <w:lang w:val="es-ES" w:eastAsia="es-ES"/>
        </w:rPr>
        <w:t xml:space="preserve"> 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no conforme es grave o no. </w:t>
      </w:r>
    </w:p>
    <w:p w:rsidR="00D701E1" w:rsidRPr="00EE439C" w:rsidRDefault="00D701E1" w:rsidP="00D701E1">
      <w:pPr>
        <w:pStyle w:val="Prrafodelista"/>
        <w:spacing w:after="0" w:line="240" w:lineRule="auto"/>
        <w:ind w:left="284" w:right="-660"/>
        <w:jc w:val="both"/>
        <w:rPr>
          <w:rFonts w:ascii="Arial Narrow" w:eastAsia="Times New Roman" w:hAnsi="Arial Narrow" w:cs="Arial"/>
          <w:snapToGrid w:val="0"/>
          <w:lang w:val="es-ES" w:eastAsia="es-ES"/>
        </w:rPr>
      </w:pPr>
      <w:r w:rsidRPr="00EE439C">
        <w:rPr>
          <w:rFonts w:ascii="Arial Narrow" w:eastAsia="Times New Roman" w:hAnsi="Arial Narrow" w:cs="Arial"/>
          <w:b/>
          <w:snapToGrid w:val="0"/>
          <w:lang w:val="es-ES" w:eastAsia="es-ES"/>
        </w:rPr>
        <w:t>Servicio no conforme grave</w:t>
      </w:r>
      <w:r w:rsidRPr="00EE439C">
        <w:rPr>
          <w:rFonts w:ascii="Arial Narrow" w:eastAsia="Times New Roman" w:hAnsi="Arial Narrow" w:cs="Arial"/>
          <w:snapToGrid w:val="0"/>
          <w:lang w:val="es-ES" w:eastAsia="es-ES"/>
        </w:rPr>
        <w:t>:</w:t>
      </w:r>
      <w:r w:rsidRPr="00EE439C">
        <w:rPr>
          <w:rFonts w:ascii="Arial Narrow" w:hAnsi="Arial Narrow"/>
        </w:rPr>
        <w:t xml:space="preserve"> Cuando</w:t>
      </w:r>
      <w:r w:rsidRPr="00EE439C">
        <w:rPr>
          <w:rFonts w:ascii="Arial Narrow" w:eastAsia="Times New Roman" w:hAnsi="Arial Narrow" w:cs="Arial"/>
          <w:snapToGrid w:val="0"/>
          <w:lang w:val="es-ES" w:eastAsia="es-ES"/>
        </w:rPr>
        <w:t xml:space="preserve"> impacta directamente al estudiante de manera negativa; cuando se presenta de forma recurrente, con un mínimo de cinco casos, en el mismo centro de trabajo o la recurrencia se repite en la misma persona (directivo, administrativo, docente).</w:t>
      </w:r>
    </w:p>
    <w:p w:rsidR="00D701E1" w:rsidRPr="00EE439C" w:rsidRDefault="00D701E1" w:rsidP="00D701E1">
      <w:pPr>
        <w:pStyle w:val="Prrafodelista"/>
        <w:spacing w:after="0" w:line="240" w:lineRule="auto"/>
        <w:ind w:left="284" w:right="-660"/>
        <w:jc w:val="both"/>
        <w:rPr>
          <w:rFonts w:ascii="Arial Narrow" w:eastAsia="Times New Roman" w:hAnsi="Arial Narrow" w:cs="Arial"/>
          <w:snapToGrid w:val="0"/>
          <w:sz w:val="12"/>
          <w:szCs w:val="12"/>
          <w:lang w:val="es-ES" w:eastAsia="es-ES"/>
        </w:rPr>
      </w:pPr>
    </w:p>
    <w:p w:rsidR="00D701E1" w:rsidRPr="00EE439C" w:rsidRDefault="00D701E1" w:rsidP="00D701E1">
      <w:pPr>
        <w:pStyle w:val="Prrafodelista"/>
        <w:numPr>
          <w:ilvl w:val="0"/>
          <w:numId w:val="5"/>
        </w:numPr>
        <w:spacing w:after="0" w:line="240" w:lineRule="auto"/>
        <w:ind w:left="284" w:right="-660"/>
        <w:jc w:val="both"/>
        <w:rPr>
          <w:rFonts w:ascii="Arial Narrow" w:eastAsia="Times New Roman" w:hAnsi="Arial Narrow" w:cs="Arial"/>
          <w:bCs/>
          <w:iCs/>
          <w:sz w:val="18"/>
          <w:szCs w:val="18"/>
          <w:lang w:val="es-ES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Cuando el Servicio no conforme es grave </w:t>
      </w:r>
      <w:r w:rsidRPr="00EE439C">
        <w:rPr>
          <w:rFonts w:ascii="Arial Narrow" w:eastAsia="Times New Roman" w:hAnsi="Arial Narrow" w:cs="Arial"/>
          <w:b/>
          <w:bCs/>
          <w:iCs/>
          <w:lang w:val="es-ES" w:eastAsia="es-ES"/>
        </w:rPr>
        <w:t>se tienen que realizar Acciones correctivas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>.</w:t>
      </w:r>
      <w:r w:rsidRPr="00EE439C">
        <w:rPr>
          <w:rFonts w:ascii="Arial Narrow" w:eastAsia="Times New Roman" w:hAnsi="Arial Narrow" w:cs="Arial"/>
          <w:bCs/>
          <w:iCs/>
          <w:sz w:val="18"/>
          <w:szCs w:val="18"/>
          <w:lang w:val="es-ES" w:eastAsia="es-ES"/>
        </w:rPr>
        <w:t xml:space="preserve"> </w:t>
      </w:r>
    </w:p>
    <w:p w:rsidR="00D701E1" w:rsidRPr="00EE439C" w:rsidRDefault="00D701E1" w:rsidP="00D701E1">
      <w:pPr>
        <w:spacing w:after="0"/>
        <w:ind w:left="284" w:right="-660"/>
        <w:jc w:val="both"/>
        <w:rPr>
          <w:rFonts w:ascii="Arial Narrow" w:eastAsia="Times New Roman" w:hAnsi="Arial Narrow" w:cs="Arial"/>
          <w:bCs/>
          <w:iCs/>
          <w:sz w:val="24"/>
          <w:szCs w:val="24"/>
          <w:lang w:val="es-ES" w:eastAsia="es-ES"/>
        </w:rPr>
      </w:pPr>
    </w:p>
    <w:p w:rsidR="00D701E1" w:rsidRPr="00EE439C" w:rsidRDefault="00D701E1" w:rsidP="00D701E1">
      <w:pPr>
        <w:pStyle w:val="Prrafodelista"/>
        <w:numPr>
          <w:ilvl w:val="0"/>
          <w:numId w:val="4"/>
        </w:numPr>
        <w:tabs>
          <w:tab w:val="left" w:pos="0"/>
        </w:tabs>
        <w:spacing w:after="0"/>
        <w:ind w:left="284" w:right="-660"/>
        <w:jc w:val="both"/>
        <w:rPr>
          <w:rFonts w:ascii="Arial Narrow" w:hAnsi="Arial Narrow" w:cs="Tahoma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Cuando se requieren Acciones correctivas, el Responsable(s) de la Identificación del SNC, debe notificar al Responsable(s) de la Atención del SNC, sobre </w:t>
      </w:r>
      <w:r w:rsidRPr="00EE439C">
        <w:rPr>
          <w:rFonts w:ascii="Arial Narrow" w:eastAsia="Times New Roman" w:hAnsi="Arial Narrow" w:cs="Times New Roman"/>
          <w:lang w:val="es-ES_tradnl" w:eastAsia="es-ES"/>
        </w:rPr>
        <w:t xml:space="preserve">la obligatoriedad de realizar acciones correctivas para atender los servicios no conformes clasificados como graves. 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La notificación debe ser en el </w:t>
      </w:r>
      <w:r w:rsidRPr="00EE439C">
        <w:rPr>
          <w:rFonts w:ascii="Arial Narrow" w:eastAsia="Times New Roman" w:hAnsi="Arial Narrow" w:cs="Arial"/>
          <w:b/>
          <w:bCs/>
          <w:iCs/>
          <w:lang w:val="es-ES" w:eastAsia="es-ES"/>
        </w:rPr>
        <w:t>transcurso de cinco días hábiles</w:t>
      </w: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, después de clasificar al SNC como grave.   </w:t>
      </w:r>
    </w:p>
    <w:p w:rsidR="00D701E1" w:rsidRPr="00EE439C" w:rsidRDefault="00D701E1" w:rsidP="00D701E1">
      <w:pPr>
        <w:pStyle w:val="Prrafodelista"/>
        <w:tabs>
          <w:tab w:val="left" w:pos="0"/>
        </w:tabs>
        <w:spacing w:after="0"/>
        <w:ind w:left="284" w:right="-660"/>
        <w:jc w:val="both"/>
        <w:rPr>
          <w:rFonts w:ascii="Arial Narrow" w:hAnsi="Arial Narrow" w:cs="Tahoma"/>
          <w:szCs w:val="24"/>
        </w:rPr>
      </w:pPr>
      <w:r w:rsidRPr="00EE439C">
        <w:rPr>
          <w:rFonts w:ascii="Arial Narrow" w:hAnsi="Arial Narrow" w:cs="Tahoma"/>
        </w:rPr>
        <w:t>Las acciones</w:t>
      </w:r>
      <w:r w:rsidRPr="00EE439C">
        <w:rPr>
          <w:rFonts w:ascii="Arial Narrow" w:hAnsi="Arial Narrow" w:cs="Tahoma"/>
          <w:szCs w:val="24"/>
        </w:rPr>
        <w:t xml:space="preserve"> correctivas se deben realizar con base en los establecido en el procedimiento de control: Acción correctiva. </w:t>
      </w:r>
    </w:p>
    <w:p w:rsidR="00D701E1" w:rsidRPr="00EE439C" w:rsidRDefault="00D701E1" w:rsidP="00D701E1">
      <w:pPr>
        <w:pStyle w:val="Prrafodelista"/>
        <w:tabs>
          <w:tab w:val="left" w:pos="0"/>
        </w:tabs>
        <w:spacing w:after="0"/>
        <w:ind w:left="284" w:right="-660"/>
        <w:jc w:val="both"/>
        <w:rPr>
          <w:rFonts w:ascii="Arial Narrow" w:hAnsi="Arial Narrow" w:cs="Tahoma"/>
          <w:sz w:val="12"/>
          <w:szCs w:val="12"/>
        </w:rPr>
      </w:pPr>
    </w:p>
    <w:p w:rsidR="00D701E1" w:rsidRPr="00EE439C" w:rsidRDefault="00D701E1" w:rsidP="00D701E1">
      <w:pPr>
        <w:pStyle w:val="Prrafodelista"/>
        <w:numPr>
          <w:ilvl w:val="0"/>
          <w:numId w:val="4"/>
        </w:numPr>
        <w:spacing w:after="0"/>
        <w:ind w:left="284" w:right="-660"/>
        <w:jc w:val="both"/>
        <w:rPr>
          <w:rFonts w:ascii="Arial Narrow" w:eastAsia="Times New Roman" w:hAnsi="Arial Narrow"/>
          <w:iCs/>
          <w:lang w:val="es-ES_tradnl" w:eastAsia="es-ES"/>
        </w:rPr>
      </w:pPr>
      <w:r w:rsidRPr="00EE439C">
        <w:rPr>
          <w:rFonts w:ascii="Arial Narrow" w:eastAsia="Times New Roman" w:hAnsi="Arial Narrow" w:cs="Arial"/>
          <w:bCs/>
          <w:iCs/>
          <w:lang w:val="es-ES" w:eastAsia="es-ES"/>
        </w:rPr>
        <w:t xml:space="preserve">Para mayor claridad sobre el desarrollo de las actividades ligadas al Reporte de servicio no conforme, revisar el apartado 6: Descripción de actividades para el control del servicio no conforme, del procedimiento de control del SGEE: Servicio no conforme. </w:t>
      </w:r>
    </w:p>
    <w:p w:rsidR="00D701E1" w:rsidRPr="00EE439C" w:rsidRDefault="00D701E1" w:rsidP="00D701E1">
      <w:pPr>
        <w:pStyle w:val="Prrafodelista"/>
        <w:tabs>
          <w:tab w:val="left" w:pos="0"/>
        </w:tabs>
        <w:spacing w:after="0" w:line="360" w:lineRule="auto"/>
        <w:ind w:left="284" w:right="-660"/>
        <w:jc w:val="both"/>
        <w:rPr>
          <w:rFonts w:ascii="Arial Narrow" w:hAnsi="Arial Narrow" w:cs="Tahoma"/>
          <w:szCs w:val="24"/>
        </w:rPr>
      </w:pPr>
    </w:p>
    <w:p w:rsidR="00FA4045" w:rsidRPr="00D701E1" w:rsidRDefault="00ED09F4" w:rsidP="00D701E1"/>
    <w:sectPr w:rsidR="00FA4045" w:rsidRPr="00D7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F4" w:rsidRDefault="00ED09F4" w:rsidP="001956B5">
      <w:pPr>
        <w:spacing w:after="0" w:line="240" w:lineRule="auto"/>
      </w:pPr>
      <w:r>
        <w:separator/>
      </w:r>
    </w:p>
  </w:endnote>
  <w:endnote w:type="continuationSeparator" w:id="0">
    <w:p w:rsidR="00ED09F4" w:rsidRDefault="00ED09F4" w:rsidP="001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0F" w:rsidRDefault="00962A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27"/>
      <w:gridCol w:w="3786"/>
      <w:gridCol w:w="2694"/>
    </w:tblGrid>
    <w:tr w:rsidR="001956B5" w:rsidRPr="00FC3C09" w:rsidTr="00785392">
      <w:tc>
        <w:tcPr>
          <w:tcW w:w="3727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 xml:space="preserve">Jefe del departamento de programación y seguimiento y </w:t>
          </w:r>
        </w:p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jc w:val="center"/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>Representante de la dirección en el SGEE</w:t>
          </w:r>
        </w:p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jc w:val="center"/>
            <w:rPr>
              <w:rFonts w:ascii="Times New Roman" w:eastAsia="Times New Roman" w:hAnsi="Times New Roman" w:cs="Times New Roman"/>
              <w:sz w:val="8"/>
              <w:szCs w:val="8"/>
              <w:lang w:val="es-ES_tradnl" w:eastAsia="es-ES"/>
            </w:rPr>
          </w:pP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86" w:type="dxa"/>
          <w:vAlign w:val="center"/>
        </w:tcPr>
        <w:p w:rsidR="001956B5" w:rsidRPr="00DB6F27" w:rsidRDefault="001956B5" w:rsidP="001956B5">
          <w:pPr>
            <w:tabs>
              <w:tab w:val="center" w:pos="4419"/>
            </w:tabs>
            <w:spacing w:after="0" w:line="240" w:lineRule="auto"/>
            <w:ind w:right="-142"/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 xml:space="preserve">Jefe del departamento de programación y seguimiento y </w:t>
          </w: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  <w:r w:rsidRPr="00DB6F27">
            <w:rPr>
              <w:rFonts w:ascii="Arial Narrow" w:eastAsia="Times New Roman" w:hAnsi="Arial Narrow" w:cs="Arial"/>
              <w:iCs/>
              <w:smallCaps/>
              <w:sz w:val="16"/>
              <w:szCs w:val="16"/>
              <w:lang w:val="es-ES_tradnl" w:eastAsia="es-ES"/>
            </w:rPr>
            <w:t>Representante de la dirección en el SGEE</w:t>
          </w:r>
        </w:p>
      </w:tc>
      <w:tc>
        <w:tcPr>
          <w:tcW w:w="2694" w:type="dxa"/>
          <w:vAlign w:val="center"/>
        </w:tcPr>
        <w:p w:rsidR="001956B5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  <w:p w:rsidR="001956B5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Director General </w:t>
          </w: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</w:p>
      </w:tc>
    </w:tr>
    <w:tr w:rsidR="001956B5" w:rsidRPr="00FC3C09" w:rsidTr="00785392">
      <w:tc>
        <w:tcPr>
          <w:tcW w:w="3727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86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2694" w:type="dxa"/>
          <w:vAlign w:val="center"/>
        </w:tcPr>
        <w:p w:rsidR="001956B5" w:rsidRPr="00FC3C09" w:rsidRDefault="001956B5" w:rsidP="001956B5">
          <w:pPr>
            <w:pStyle w:val="Piedepgina"/>
            <w:tabs>
              <w:tab w:val="clear" w:pos="8838"/>
            </w:tabs>
            <w:ind w:right="-142"/>
            <w:jc w:val="center"/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1956B5" w:rsidRDefault="001956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0F" w:rsidRDefault="00962A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F4" w:rsidRDefault="00ED09F4" w:rsidP="001956B5">
      <w:pPr>
        <w:spacing w:after="0" w:line="240" w:lineRule="auto"/>
      </w:pPr>
      <w:r>
        <w:separator/>
      </w:r>
    </w:p>
  </w:footnote>
  <w:footnote w:type="continuationSeparator" w:id="0">
    <w:p w:rsidR="00ED09F4" w:rsidRDefault="00ED09F4" w:rsidP="0019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0F" w:rsidRDefault="00962A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46" w:type="dxa"/>
      <w:tblInd w:w="-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00"/>
      <w:gridCol w:w="3646"/>
    </w:tblGrid>
    <w:tr w:rsidR="001956B5" w:rsidRPr="00FC3C09" w:rsidTr="00785392">
      <w:trPr>
        <w:cantSplit/>
        <w:trHeight w:val="276"/>
      </w:trPr>
      <w:tc>
        <w:tcPr>
          <w:tcW w:w="8146" w:type="dxa"/>
          <w:gridSpan w:val="2"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1956B5" w:rsidRPr="00FC3C09" w:rsidTr="00785392">
      <w:trPr>
        <w:cantSplit/>
        <w:trHeight w:val="213"/>
      </w:trPr>
      <w:tc>
        <w:tcPr>
          <w:tcW w:w="4500" w:type="dxa"/>
          <w:vMerge w:val="restart"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Servicio No Conforme</w:t>
          </w:r>
        </w:p>
      </w:tc>
      <w:tc>
        <w:tcPr>
          <w:tcW w:w="3646" w:type="dxa"/>
          <w:shd w:val="clear" w:color="auto" w:fill="auto"/>
          <w:vAlign w:val="center"/>
        </w:tcPr>
        <w:p w:rsidR="001956B5" w:rsidRPr="00903F80" w:rsidRDefault="001956B5" w:rsidP="00962A0F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 w:rsidR="00962A0F">
            <w:rPr>
              <w:rFonts w:ascii="Arial Narrow" w:hAnsi="Arial Narrow" w:cs="Arial"/>
              <w:iCs/>
              <w:smallCaps/>
              <w:sz w:val="16"/>
              <w:szCs w:val="16"/>
            </w:rPr>
            <w:t>4</w:t>
          </w:r>
        </w:p>
      </w:tc>
    </w:tr>
    <w:tr w:rsidR="001956B5" w:rsidRPr="00FC3C09" w:rsidTr="00785392">
      <w:trPr>
        <w:cantSplit/>
        <w:trHeight w:val="213"/>
      </w:trPr>
      <w:tc>
        <w:tcPr>
          <w:tcW w:w="4500" w:type="dxa"/>
          <w:vMerge/>
          <w:shd w:val="clear" w:color="auto" w:fill="auto"/>
        </w:tcPr>
        <w:p w:rsidR="001956B5" w:rsidRPr="00FC3C09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3646" w:type="dxa"/>
          <w:shd w:val="clear" w:color="auto" w:fill="auto"/>
          <w:vAlign w:val="center"/>
        </w:tcPr>
        <w:p w:rsidR="001956B5" w:rsidRPr="00903F80" w:rsidRDefault="001956B5" w:rsidP="00962A0F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903F80">
            <w:rPr>
              <w:rFonts w:ascii="Arial Narrow" w:hAnsi="Arial Narrow" w:cs="Arial"/>
              <w:iCs/>
              <w:smallCaps/>
              <w:sz w:val="16"/>
              <w:szCs w:val="16"/>
            </w:rPr>
            <w:t>Fecha de aprobación: 2</w:t>
          </w:r>
          <w:r w:rsidR="00962A0F">
            <w:rPr>
              <w:rFonts w:ascii="Arial Narrow" w:hAnsi="Arial Narrow" w:cs="Arial"/>
              <w:iCs/>
              <w:smallCaps/>
              <w:sz w:val="16"/>
              <w:szCs w:val="16"/>
            </w:rPr>
            <w:t>1</w:t>
          </w:r>
          <w:r w:rsidRPr="00903F80">
            <w:rPr>
              <w:rFonts w:ascii="Arial Narrow" w:hAnsi="Arial Narrow" w:cs="Arial"/>
              <w:iCs/>
              <w:smallCaps/>
              <w:sz w:val="16"/>
              <w:szCs w:val="16"/>
            </w:rPr>
            <w:t>/0</w:t>
          </w:r>
          <w:r w:rsidR="00962A0F">
            <w:rPr>
              <w:rFonts w:ascii="Arial Narrow" w:hAnsi="Arial Narrow" w:cs="Arial"/>
              <w:iCs/>
              <w:smallCaps/>
              <w:sz w:val="16"/>
              <w:szCs w:val="16"/>
            </w:rPr>
            <w:t>8</w:t>
          </w:r>
          <w:r w:rsidRPr="00903F80">
            <w:rPr>
              <w:rFonts w:ascii="Arial Narrow" w:hAnsi="Arial Narrow" w:cs="Arial"/>
              <w:iCs/>
              <w:smallCaps/>
              <w:sz w:val="16"/>
              <w:szCs w:val="16"/>
            </w:rPr>
            <w:t>/2</w:t>
          </w:r>
          <w:r w:rsidR="00962A0F">
            <w:rPr>
              <w:rFonts w:ascii="Arial Narrow" w:hAnsi="Arial Narrow" w:cs="Arial"/>
              <w:iCs/>
              <w:smallCaps/>
              <w:sz w:val="16"/>
              <w:szCs w:val="16"/>
            </w:rPr>
            <w:t>3</w:t>
          </w:r>
        </w:p>
      </w:tc>
    </w:tr>
    <w:tr w:rsidR="001956B5" w:rsidRPr="00FC3C09" w:rsidTr="00785392">
      <w:trPr>
        <w:cantSplit/>
        <w:trHeight w:val="213"/>
      </w:trPr>
      <w:tc>
        <w:tcPr>
          <w:tcW w:w="4500" w:type="dxa"/>
          <w:vMerge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3646" w:type="dxa"/>
          <w:shd w:val="clear" w:color="auto" w:fill="auto"/>
          <w:vAlign w:val="center"/>
        </w:tcPr>
        <w:p w:rsidR="001956B5" w:rsidRPr="00962A0F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0"/>
              <w:szCs w:val="10"/>
            </w:rPr>
          </w:pPr>
        </w:p>
        <w:p w:rsidR="001956B5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1956B5" w:rsidRPr="00962A0F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0"/>
              <w:szCs w:val="10"/>
            </w:rPr>
          </w:pPr>
          <w:bookmarkStart w:id="0" w:name="_GoBack"/>
          <w:bookmarkEnd w:id="0"/>
        </w:p>
      </w:tc>
    </w:tr>
    <w:tr w:rsidR="001956B5" w:rsidRPr="00FC3C09" w:rsidTr="00785392">
      <w:trPr>
        <w:cantSplit/>
        <w:trHeight w:val="184"/>
      </w:trPr>
      <w:tc>
        <w:tcPr>
          <w:tcW w:w="4500" w:type="dxa"/>
          <w:vMerge/>
          <w:shd w:val="clear" w:color="auto" w:fill="auto"/>
        </w:tcPr>
        <w:p w:rsidR="001956B5" w:rsidRPr="00FC3C09" w:rsidRDefault="001956B5" w:rsidP="001956B5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3646" w:type="dxa"/>
          <w:shd w:val="clear" w:color="auto" w:fill="auto"/>
          <w:vAlign w:val="center"/>
        </w:tcPr>
        <w:p w:rsidR="001956B5" w:rsidRPr="00FC3C09" w:rsidRDefault="001956B5" w:rsidP="001956B5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962A0F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962A0F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2</w:t>
          </w:r>
          <w:r w:rsidRPr="00FC3C09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1956B5" w:rsidRDefault="001956B5">
    <w:pPr>
      <w:pStyle w:val="Encabezado"/>
    </w:pPr>
    <w:r>
      <w:rPr>
        <w:rFonts w:ascii="Arial Narrow" w:hAnsi="Arial Narrow" w:cs="Arial"/>
        <w:iCs/>
        <w:smallCap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0F244CF" wp14:editId="394669C1">
          <wp:simplePos x="0" y="0"/>
          <wp:positionH relativeFrom="column">
            <wp:posOffset>5128260</wp:posOffset>
          </wp:positionH>
          <wp:positionV relativeFrom="paragraph">
            <wp:posOffset>-1041400</wp:posOffset>
          </wp:positionV>
          <wp:extent cx="857885" cy="1105535"/>
          <wp:effectExtent l="0" t="0" r="0" b="0"/>
          <wp:wrapThrough wrapText="bothSides">
            <wp:wrapPolygon edited="0">
              <wp:start x="0" y="0"/>
              <wp:lineTo x="0" y="21215"/>
              <wp:lineTo x="21104" y="21215"/>
              <wp:lineTo x="21104" y="0"/>
              <wp:lineTo x="0" y="0"/>
            </wp:wrapPolygon>
          </wp:wrapThrough>
          <wp:docPr id="4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0F" w:rsidRDefault="00962A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D27"/>
    <w:multiLevelType w:val="hybridMultilevel"/>
    <w:tmpl w:val="D38079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557"/>
    <w:multiLevelType w:val="hybridMultilevel"/>
    <w:tmpl w:val="F18C2584"/>
    <w:lvl w:ilvl="0" w:tplc="080A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59E562B7"/>
    <w:multiLevelType w:val="hybridMultilevel"/>
    <w:tmpl w:val="FBF8E792"/>
    <w:lvl w:ilvl="0" w:tplc="ADE227D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60BC4DB0"/>
    <w:multiLevelType w:val="hybridMultilevel"/>
    <w:tmpl w:val="1A92AD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0F7"/>
    <w:multiLevelType w:val="hybridMultilevel"/>
    <w:tmpl w:val="E96200CE"/>
    <w:lvl w:ilvl="0" w:tplc="22521874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B5"/>
    <w:rsid w:val="00014A85"/>
    <w:rsid w:val="0009793A"/>
    <w:rsid w:val="001956B5"/>
    <w:rsid w:val="001D0BA9"/>
    <w:rsid w:val="00924AB7"/>
    <w:rsid w:val="009422E6"/>
    <w:rsid w:val="00962A0F"/>
    <w:rsid w:val="00BB6A14"/>
    <w:rsid w:val="00BF003D"/>
    <w:rsid w:val="00D701E1"/>
    <w:rsid w:val="00ED09F4"/>
    <w:rsid w:val="00E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EBAC"/>
  <w15:chartTrackingRefBased/>
  <w15:docId w15:val="{82D82499-441D-4A2D-ADED-9FB606F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5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nhideWhenUsed/>
    <w:rsid w:val="0019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logomai Car"/>
    <w:basedOn w:val="Fuentedeprrafopredeter"/>
    <w:link w:val="Encabezado"/>
    <w:rsid w:val="001956B5"/>
  </w:style>
  <w:style w:type="paragraph" w:styleId="Piedepgina">
    <w:name w:val="footer"/>
    <w:basedOn w:val="Normal"/>
    <w:link w:val="PiedepginaCar"/>
    <w:uiPriority w:val="99"/>
    <w:unhideWhenUsed/>
    <w:rsid w:val="00195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6B5"/>
  </w:style>
  <w:style w:type="paragraph" w:styleId="Prrafodelista">
    <w:name w:val="List Paragraph"/>
    <w:basedOn w:val="Normal"/>
    <w:uiPriority w:val="34"/>
    <w:qFormat/>
    <w:rsid w:val="001956B5"/>
    <w:pPr>
      <w:ind w:left="720"/>
      <w:contextualSpacing/>
    </w:pPr>
  </w:style>
  <w:style w:type="paragraph" w:customStyle="1" w:styleId="gabita">
    <w:name w:val="gabita"/>
    <w:basedOn w:val="Textoindependiente"/>
    <w:uiPriority w:val="99"/>
    <w:rsid w:val="001956B5"/>
    <w:pPr>
      <w:suppressAutoHyphens/>
      <w:spacing w:after="0" w:line="240" w:lineRule="auto"/>
      <w:jc w:val="both"/>
    </w:pPr>
    <w:rPr>
      <w:rFonts w:ascii="Arial" w:eastAsia="Cambria" w:hAnsi="Arial" w:cs="Arial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6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ECA_MGodinez</dc:creator>
  <cp:keywords/>
  <dc:description/>
  <cp:lastModifiedBy>ECA_MGodinez</cp:lastModifiedBy>
  <cp:revision>5</cp:revision>
  <dcterms:created xsi:type="dcterms:W3CDTF">2023-08-16T17:51:00Z</dcterms:created>
  <dcterms:modified xsi:type="dcterms:W3CDTF">2023-08-16T18:28:00Z</dcterms:modified>
</cp:coreProperties>
</file>