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88" w:lineRule="auto"/>
      </w:pPr>
      <w:r>
        <w:rPr/>
        <w:pict>
          <v:group style="position:absolute;margin-left:23.85pt;margin-top:64.455833pt;width:550pt;height:36.3pt;mso-position-horizontal-relative:page;mso-position-vertical-relative:paragraph;z-index:-251868160" coordorigin="477,1289" coordsize="11000,726">
            <v:shape style="position:absolute;left:477;top:1289;width:2775;height:339" coordorigin="477,1289" coordsize="2775,339" path="m3177,1289l552,1289,523,1295,499,1311,483,1335,477,1364,477,1553,483,1582,499,1606,523,1622,552,1628,3177,1628,3206,1622,3230,1606,3246,1582,3252,1553,3252,1364,3246,1335,3230,1311,3206,1295,3177,1289xe" filled="true" fillcolor="#ccdded" stroked="false">
              <v:path arrowok="t"/>
              <v:fill type="solid"/>
            </v:shape>
            <v:shape style="position:absolute;left:477;top:1289;width:2775;height:339" coordorigin="477,1289" coordsize="2775,339" path="m552,1289l3177,1289,3206,1295,3230,1311,3246,1335,3252,1364,3252,1553,3246,1582,3230,1606,3206,1622,3177,1628,552,1628,523,1622,499,1606,483,1582,477,1553,477,1364,483,1335,499,1311,523,1295,552,1289xe" filled="false" stroked="true" strokeweight="0pt" strokecolor="#000000">
              <v:path arrowok="t"/>
              <v:stroke dashstyle="solid"/>
            </v:shape>
            <v:shape style="position:absolute;left:477;top:1289;width:11000;height:726" coordorigin="477,1289" coordsize="11000,726" path="m5957,1724l5951,1695,5935,1671,5911,1655,5882,1649,552,1649,523,1655,499,1671,483,1695,477,1724,477,1940,483,1969,499,1993,523,2009,552,2015,5882,2015,5911,2009,5935,1993,5951,1969,5957,1940,5957,1724m9357,1364l9351,1335,9335,1311,9311,1295,9282,1289,6072,1289,6043,1295,6019,1311,6003,1335,5997,1364,5997,1553,6003,1582,6019,1606,6043,1622,6072,1628,9282,1628,9311,1622,9335,1606,9351,1582,9357,1553,9357,1364m11477,1724l11471,1695,11455,1671,11431,1655,11402,1649,6072,1649,6043,1655,6019,1671,6003,1695,5997,1724,5997,1940,6003,1969,6019,1993,6043,2009,6072,2015,11402,2015,11431,2009,11455,1993,11471,1969,11477,1940,11477,1724e" filled="true" fillcolor="#ccdded" stroked="false">
              <v:path arrowok="t"/>
              <v:fill type="solid"/>
            </v:shape>
            <w10:wrap type="none"/>
          </v:group>
        </w:pict>
      </w:r>
      <w:r>
        <w:rPr/>
        <w:drawing>
          <wp:anchor distT="0" distB="0" distL="0" distR="0" allowOverlap="1" layoutInCell="1" locked="0" behindDoc="0" simplePos="0" relativeHeight="251664384">
            <wp:simplePos x="0" y="0"/>
            <wp:positionH relativeFrom="page">
              <wp:posOffset>5903595</wp:posOffset>
            </wp:positionH>
            <wp:positionV relativeFrom="paragraph">
              <wp:posOffset>5789</wp:posOffset>
            </wp:positionV>
            <wp:extent cx="1191259" cy="70802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191259" cy="708025"/>
                    </a:xfrm>
                    <a:prstGeom prst="rect">
                      <a:avLst/>
                    </a:prstGeom>
                  </pic:spPr>
                </pic:pic>
              </a:graphicData>
            </a:graphic>
          </wp:anchor>
        </w:drawing>
      </w:r>
      <w:r>
        <w:rPr/>
        <w:t>Consentimiento - Certificado Individual de la Póliza de Seguro VIDA GRUPO + VA, sin participación en las utilidades, Con Relación Laboral</w:t>
      </w:r>
    </w:p>
    <w:p>
      <w:pPr>
        <w:pStyle w:val="BodyText"/>
        <w:spacing w:before="8"/>
        <w:rPr>
          <w:b/>
          <w:sz w:val="14"/>
        </w:rPr>
      </w:pPr>
    </w:p>
    <w:tbl>
      <w:tblPr>
        <w:tblW w:w="0" w:type="auto"/>
        <w:jc w:val="left"/>
        <w:tblInd w:w="18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268"/>
        <w:gridCol w:w="4224"/>
        <w:gridCol w:w="3387"/>
        <w:gridCol w:w="2120"/>
      </w:tblGrid>
      <w:tr>
        <w:trPr>
          <w:trHeight w:val="334" w:hRule="atLeast"/>
        </w:trPr>
        <w:tc>
          <w:tcPr>
            <w:tcW w:w="1268" w:type="dxa"/>
            <w:tcBorders>
              <w:top w:val="nil"/>
              <w:left w:val="nil"/>
              <w:right w:val="nil"/>
            </w:tcBorders>
          </w:tcPr>
          <w:p>
            <w:pPr>
              <w:pStyle w:val="TableParagraph"/>
              <w:spacing w:line="234" w:lineRule="exact" w:before="81"/>
              <w:ind w:left="104" w:right="120"/>
              <w:jc w:val="center"/>
              <w:rPr>
                <w:b/>
                <w:sz w:val="21"/>
              </w:rPr>
            </w:pPr>
            <w:r>
              <w:rPr>
                <w:b/>
                <w:sz w:val="21"/>
              </w:rPr>
              <w:t>No. Póliza</w:t>
            </w:r>
          </w:p>
        </w:tc>
        <w:tc>
          <w:tcPr>
            <w:tcW w:w="4224" w:type="dxa"/>
            <w:tcBorders>
              <w:top w:val="nil"/>
              <w:left w:val="nil"/>
              <w:right w:val="single" w:sz="4" w:space="0" w:color="000000"/>
            </w:tcBorders>
          </w:tcPr>
          <w:p>
            <w:pPr>
              <w:pStyle w:val="TableParagraph"/>
              <w:spacing w:before="73"/>
              <w:ind w:left="54"/>
              <w:rPr>
                <w:sz w:val="19"/>
              </w:rPr>
            </w:pPr>
            <w:r>
              <w:rPr>
                <w:w w:val="105"/>
                <w:sz w:val="19"/>
              </w:rPr>
              <w:t>12000-5473-1</w:t>
            </w:r>
          </w:p>
        </w:tc>
        <w:tc>
          <w:tcPr>
            <w:tcW w:w="3387" w:type="dxa"/>
            <w:tcBorders>
              <w:top w:val="single" w:sz="4" w:space="0" w:color="000000"/>
              <w:left w:val="single" w:sz="4" w:space="0" w:color="000000"/>
              <w:bottom w:val="single" w:sz="4" w:space="0" w:color="000000"/>
              <w:right w:val="single" w:sz="4" w:space="0" w:color="000000"/>
            </w:tcBorders>
          </w:tcPr>
          <w:p>
            <w:pPr>
              <w:pStyle w:val="TableParagraph"/>
              <w:spacing w:line="234" w:lineRule="exact" w:before="81"/>
              <w:ind w:left="245"/>
              <w:rPr>
                <w:b/>
                <w:sz w:val="21"/>
              </w:rPr>
            </w:pPr>
            <w:r>
              <w:rPr>
                <w:b/>
                <w:sz w:val="21"/>
              </w:rPr>
              <w:t>Certificado</w:t>
            </w:r>
          </w:p>
        </w:tc>
        <w:tc>
          <w:tcPr>
            <w:tcW w:w="2120" w:type="dxa"/>
            <w:tcBorders>
              <w:top w:val="nil"/>
              <w:left w:val="single" w:sz="4" w:space="0" w:color="000000"/>
              <w:bottom w:val="nil"/>
              <w:right w:val="nil"/>
            </w:tcBorders>
          </w:tcPr>
          <w:p>
            <w:pPr>
              <w:pStyle w:val="TableParagraph"/>
              <w:ind w:left="0"/>
              <w:rPr>
                <w:rFonts w:ascii="Times New Roman"/>
                <w:sz w:val="20"/>
              </w:rPr>
            </w:pPr>
          </w:p>
        </w:tc>
      </w:tr>
      <w:tr>
        <w:trPr>
          <w:trHeight w:val="413" w:hRule="atLeast"/>
        </w:trPr>
        <w:tc>
          <w:tcPr>
            <w:tcW w:w="5492" w:type="dxa"/>
            <w:gridSpan w:val="2"/>
            <w:tcBorders>
              <w:left w:val="single" w:sz="4" w:space="0" w:color="000000"/>
              <w:bottom w:val="nil"/>
            </w:tcBorders>
          </w:tcPr>
          <w:p>
            <w:pPr>
              <w:pStyle w:val="TableParagraph"/>
              <w:tabs>
                <w:tab w:pos="5455" w:val="left" w:leader="none"/>
              </w:tabs>
              <w:spacing w:before="96"/>
              <w:ind w:left="20"/>
              <w:rPr>
                <w:rFonts w:ascii="Times New Roman"/>
                <w:sz w:val="21"/>
              </w:rPr>
            </w:pPr>
            <w:r>
              <w:rPr>
                <w:rFonts w:ascii="Times New Roman"/>
                <w:sz w:val="21"/>
                <w:u w:val="single"/>
              </w:rPr>
              <w:t> </w:t>
            </w:r>
            <w:r>
              <w:rPr>
                <w:rFonts w:ascii="Times New Roman"/>
                <w:spacing w:val="-8"/>
                <w:sz w:val="21"/>
                <w:u w:val="single"/>
              </w:rPr>
              <w:t> </w:t>
            </w:r>
            <w:r>
              <w:rPr>
                <w:b/>
                <w:sz w:val="21"/>
                <w:u w:val="single"/>
              </w:rPr>
              <w:t>Datos del</w:t>
            </w:r>
            <w:r>
              <w:rPr>
                <w:b/>
                <w:spacing w:val="-16"/>
                <w:sz w:val="21"/>
                <w:u w:val="single"/>
              </w:rPr>
              <w:t> </w:t>
            </w:r>
            <w:r>
              <w:rPr>
                <w:b/>
                <w:sz w:val="21"/>
                <w:u w:val="single"/>
              </w:rPr>
              <w:t>Contratante</w:t>
            </w:r>
            <w:r>
              <w:rPr>
                <w:rFonts w:ascii="Times New Roman"/>
                <w:sz w:val="21"/>
                <w:u w:val="single"/>
              </w:rPr>
              <w:tab/>
            </w:r>
          </w:p>
        </w:tc>
        <w:tc>
          <w:tcPr>
            <w:tcW w:w="5507" w:type="dxa"/>
            <w:gridSpan w:val="2"/>
            <w:tcBorders>
              <w:top w:val="nil"/>
              <w:bottom w:val="nil"/>
              <w:right w:val="single" w:sz="4" w:space="0" w:color="000000"/>
            </w:tcBorders>
          </w:tcPr>
          <w:p>
            <w:pPr>
              <w:pStyle w:val="TableParagraph"/>
              <w:tabs>
                <w:tab w:pos="5473" w:val="left" w:leader="none"/>
              </w:tabs>
              <w:spacing w:before="96"/>
              <w:ind w:left="38"/>
              <w:rPr>
                <w:rFonts w:ascii="Times New Roman" w:hAnsi="Times New Roman"/>
                <w:sz w:val="21"/>
              </w:rPr>
            </w:pPr>
            <w:r>
              <w:rPr>
                <w:rFonts w:ascii="Times New Roman" w:hAnsi="Times New Roman"/>
                <w:sz w:val="21"/>
                <w:u w:val="single"/>
              </w:rPr>
              <w:t>   </w:t>
            </w:r>
            <w:r>
              <w:rPr>
                <w:rFonts w:ascii="Times New Roman" w:hAnsi="Times New Roman"/>
                <w:spacing w:val="7"/>
                <w:sz w:val="21"/>
                <w:u w:val="single"/>
              </w:rPr>
              <w:t> </w:t>
            </w:r>
            <w:r>
              <w:rPr>
                <w:b/>
                <w:sz w:val="21"/>
                <w:u w:val="single"/>
              </w:rPr>
              <w:t>Datos de la</w:t>
            </w:r>
            <w:r>
              <w:rPr>
                <w:b/>
                <w:spacing w:val="-7"/>
                <w:sz w:val="21"/>
                <w:u w:val="single"/>
              </w:rPr>
              <w:t> </w:t>
            </w:r>
            <w:r>
              <w:rPr>
                <w:b/>
                <w:sz w:val="21"/>
                <w:u w:val="single"/>
              </w:rPr>
              <w:t>Póliza</w:t>
            </w:r>
            <w:r>
              <w:rPr>
                <w:rFonts w:ascii="Times New Roman" w:hAnsi="Times New Roman"/>
                <w:sz w:val="21"/>
                <w:u w:val="single"/>
              </w:rPr>
              <w:tab/>
            </w:r>
          </w:p>
        </w:tc>
      </w:tr>
      <w:tr>
        <w:trPr>
          <w:trHeight w:val="1848" w:hRule="atLeast"/>
        </w:trPr>
        <w:tc>
          <w:tcPr>
            <w:tcW w:w="5492" w:type="dxa"/>
            <w:gridSpan w:val="2"/>
            <w:tcBorders>
              <w:top w:val="nil"/>
              <w:left w:val="single" w:sz="4" w:space="0" w:color="000000"/>
              <w:bottom w:val="single" w:sz="6" w:space="0" w:color="000000"/>
              <w:right w:val="single" w:sz="4" w:space="0" w:color="000000"/>
            </w:tcBorders>
          </w:tcPr>
          <w:p>
            <w:pPr>
              <w:pStyle w:val="TableParagraph"/>
              <w:spacing w:line="278" w:lineRule="auto" w:before="77"/>
              <w:ind w:left="117" w:right="1021"/>
              <w:rPr>
                <w:sz w:val="19"/>
              </w:rPr>
            </w:pPr>
            <w:r>
              <w:rPr>
                <w:w w:val="105"/>
                <w:sz w:val="19"/>
              </w:rPr>
              <w:t>COLEGIO DE BACHILLERES DEL ESTADO DE VERACRUZ</w:t>
            </w:r>
          </w:p>
          <w:p>
            <w:pPr>
              <w:pStyle w:val="TableParagraph"/>
              <w:spacing w:line="190" w:lineRule="exact"/>
              <w:ind w:left="117"/>
              <w:rPr>
                <w:sz w:val="19"/>
              </w:rPr>
            </w:pPr>
            <w:r>
              <w:rPr>
                <w:w w:val="105"/>
                <w:sz w:val="19"/>
              </w:rPr>
              <w:t>CBE880730K13</w:t>
            </w:r>
          </w:p>
          <w:p>
            <w:pPr>
              <w:pStyle w:val="TableParagraph"/>
              <w:spacing w:before="21"/>
              <w:ind w:left="117"/>
              <w:rPr>
                <w:sz w:val="19"/>
              </w:rPr>
            </w:pPr>
            <w:r>
              <w:rPr>
                <w:w w:val="105"/>
                <w:sz w:val="19"/>
              </w:rPr>
              <w:t>AV. AMÉRICAS, No. 24, Int.</w:t>
            </w:r>
          </w:p>
          <w:p>
            <w:pPr>
              <w:pStyle w:val="TableParagraph"/>
              <w:spacing w:before="9"/>
              <w:ind w:left="0"/>
              <w:rPr>
                <w:b/>
                <w:sz w:val="22"/>
              </w:rPr>
            </w:pPr>
          </w:p>
          <w:p>
            <w:pPr>
              <w:pStyle w:val="TableParagraph"/>
              <w:spacing w:line="264" w:lineRule="auto"/>
              <w:ind w:left="117" w:right="3903"/>
              <w:rPr>
                <w:sz w:val="19"/>
              </w:rPr>
            </w:pPr>
            <w:r>
              <w:rPr>
                <w:w w:val="105"/>
                <w:sz w:val="19"/>
              </w:rPr>
              <w:t>AGUACATAL XALAPA, 91130</w:t>
            </w:r>
          </w:p>
        </w:tc>
        <w:tc>
          <w:tcPr>
            <w:tcW w:w="5507" w:type="dxa"/>
            <w:gridSpan w:val="2"/>
            <w:tcBorders>
              <w:top w:val="nil"/>
              <w:left w:val="single" w:sz="4" w:space="0" w:color="000000"/>
              <w:bottom w:val="single" w:sz="6" w:space="0" w:color="000000"/>
              <w:right w:val="single" w:sz="4" w:space="0" w:color="000000"/>
            </w:tcBorders>
          </w:tcPr>
          <w:p>
            <w:pPr>
              <w:pStyle w:val="TableParagraph"/>
              <w:tabs>
                <w:tab w:pos="2665" w:val="left" w:leader="none"/>
              </w:tabs>
              <w:spacing w:before="77"/>
              <w:rPr>
                <w:sz w:val="19"/>
              </w:rPr>
            </w:pPr>
            <w:r>
              <w:rPr>
                <w:w w:val="105"/>
                <w:sz w:val="19"/>
              </w:rPr>
              <w:t>Plazo:</w:t>
            </w:r>
            <w:r>
              <w:rPr>
                <w:rFonts w:ascii="Times New Roman" w:hAnsi="Times New Roman"/>
                <w:w w:val="105"/>
                <w:sz w:val="19"/>
              </w:rPr>
              <w:tab/>
            </w:r>
            <w:r>
              <w:rPr>
                <w:w w:val="105"/>
                <w:sz w:val="19"/>
              </w:rPr>
              <w:t>1</w:t>
            </w:r>
            <w:r>
              <w:rPr>
                <w:spacing w:val="-7"/>
                <w:w w:val="105"/>
                <w:sz w:val="19"/>
              </w:rPr>
              <w:t> </w:t>
            </w:r>
            <w:r>
              <w:rPr>
                <w:w w:val="105"/>
                <w:sz w:val="19"/>
              </w:rPr>
              <w:t>Año</w:t>
            </w:r>
          </w:p>
          <w:p>
            <w:pPr>
              <w:pStyle w:val="TableParagraph"/>
              <w:tabs>
                <w:tab w:pos="2665" w:val="left" w:leader="none"/>
              </w:tabs>
              <w:spacing w:before="21"/>
              <w:rPr>
                <w:sz w:val="19"/>
              </w:rPr>
            </w:pPr>
            <w:r>
              <w:rPr>
                <w:w w:val="105"/>
                <w:sz w:val="19"/>
              </w:rPr>
              <w:t>Moneda:</w:t>
            </w:r>
            <w:r>
              <w:rPr>
                <w:rFonts w:ascii="Times New Roman"/>
                <w:w w:val="105"/>
                <w:sz w:val="19"/>
              </w:rPr>
              <w:tab/>
            </w:r>
            <w:r>
              <w:rPr>
                <w:w w:val="105"/>
                <w:sz w:val="19"/>
              </w:rPr>
              <w:t>Pesos</w:t>
            </w:r>
          </w:p>
          <w:p>
            <w:pPr>
              <w:pStyle w:val="TableParagraph"/>
              <w:tabs>
                <w:tab w:pos="2665" w:val="left" w:leader="none"/>
              </w:tabs>
              <w:spacing w:before="22"/>
              <w:rPr>
                <w:sz w:val="19"/>
              </w:rPr>
            </w:pPr>
            <w:r>
              <w:rPr>
                <w:w w:val="105"/>
                <w:sz w:val="19"/>
              </w:rPr>
              <w:t>Forma</w:t>
            </w:r>
            <w:r>
              <w:rPr>
                <w:spacing w:val="-7"/>
                <w:w w:val="105"/>
                <w:sz w:val="19"/>
              </w:rPr>
              <w:t> </w:t>
            </w:r>
            <w:r>
              <w:rPr>
                <w:w w:val="105"/>
                <w:sz w:val="19"/>
              </w:rPr>
              <w:t>de</w:t>
            </w:r>
            <w:r>
              <w:rPr>
                <w:spacing w:val="-6"/>
                <w:w w:val="105"/>
                <w:sz w:val="19"/>
              </w:rPr>
              <w:t> </w:t>
            </w:r>
            <w:r>
              <w:rPr>
                <w:w w:val="105"/>
                <w:sz w:val="19"/>
              </w:rPr>
              <w:t>pago:</w:t>
            </w:r>
            <w:r>
              <w:rPr>
                <w:rFonts w:ascii="Times New Roman"/>
                <w:w w:val="105"/>
                <w:sz w:val="19"/>
              </w:rPr>
              <w:tab/>
            </w:r>
            <w:r>
              <w:rPr>
                <w:w w:val="105"/>
                <w:sz w:val="19"/>
              </w:rPr>
              <w:t>Anual</w:t>
            </w:r>
          </w:p>
          <w:p>
            <w:pPr>
              <w:pStyle w:val="TableParagraph"/>
              <w:tabs>
                <w:tab w:pos="2665" w:val="left" w:leader="none"/>
              </w:tabs>
              <w:spacing w:before="21"/>
              <w:rPr>
                <w:sz w:val="19"/>
              </w:rPr>
            </w:pPr>
            <w:r>
              <w:rPr>
                <w:w w:val="105"/>
                <w:sz w:val="19"/>
              </w:rPr>
              <w:t>Contributorio:</w:t>
            </w:r>
            <w:r>
              <w:rPr>
                <w:rFonts w:ascii="Times New Roman"/>
                <w:w w:val="105"/>
                <w:sz w:val="19"/>
              </w:rPr>
              <w:tab/>
            </w:r>
            <w:r>
              <w:rPr>
                <w:w w:val="105"/>
                <w:sz w:val="19"/>
              </w:rPr>
              <w:t>No</w:t>
            </w:r>
          </w:p>
          <w:p>
            <w:pPr>
              <w:pStyle w:val="TableParagraph"/>
              <w:tabs>
                <w:tab w:pos="2665" w:val="left" w:leader="none"/>
              </w:tabs>
              <w:spacing w:before="22"/>
              <w:rPr>
                <w:sz w:val="19"/>
              </w:rPr>
            </w:pPr>
            <w:r>
              <w:rPr>
                <w:w w:val="105"/>
                <w:sz w:val="19"/>
              </w:rPr>
              <w:t>Inicio</w:t>
            </w:r>
            <w:r>
              <w:rPr>
                <w:spacing w:val="-7"/>
                <w:w w:val="105"/>
                <w:sz w:val="19"/>
              </w:rPr>
              <w:t> </w:t>
            </w:r>
            <w:r>
              <w:rPr>
                <w:w w:val="105"/>
                <w:sz w:val="19"/>
              </w:rPr>
              <w:t>vigencia:</w:t>
            </w:r>
            <w:r>
              <w:rPr>
                <w:rFonts w:ascii="Times New Roman"/>
                <w:w w:val="105"/>
                <w:sz w:val="19"/>
              </w:rPr>
              <w:tab/>
            </w:r>
            <w:r>
              <w:rPr>
                <w:w w:val="105"/>
                <w:sz w:val="19"/>
              </w:rPr>
              <w:t>28 de febrero de</w:t>
            </w:r>
            <w:r>
              <w:rPr>
                <w:spacing w:val="-32"/>
                <w:w w:val="105"/>
                <w:sz w:val="19"/>
              </w:rPr>
              <w:t> </w:t>
            </w:r>
            <w:r>
              <w:rPr>
                <w:w w:val="105"/>
                <w:sz w:val="19"/>
              </w:rPr>
              <w:t>2024</w:t>
            </w:r>
          </w:p>
          <w:p>
            <w:pPr>
              <w:pStyle w:val="TableParagraph"/>
              <w:tabs>
                <w:tab w:pos="2665" w:val="left" w:leader="none"/>
              </w:tabs>
              <w:spacing w:before="22"/>
              <w:rPr>
                <w:sz w:val="19"/>
              </w:rPr>
            </w:pPr>
            <w:r>
              <w:rPr>
                <w:w w:val="105"/>
                <w:sz w:val="19"/>
              </w:rPr>
              <w:t>Fin</w:t>
            </w:r>
            <w:r>
              <w:rPr>
                <w:spacing w:val="-6"/>
                <w:w w:val="105"/>
                <w:sz w:val="19"/>
              </w:rPr>
              <w:t> </w:t>
            </w:r>
            <w:r>
              <w:rPr>
                <w:w w:val="105"/>
                <w:sz w:val="19"/>
              </w:rPr>
              <w:t>vigencia:</w:t>
            </w:r>
            <w:r>
              <w:rPr>
                <w:rFonts w:ascii="Times New Roman"/>
                <w:w w:val="105"/>
                <w:sz w:val="19"/>
              </w:rPr>
              <w:tab/>
            </w:r>
            <w:r>
              <w:rPr>
                <w:w w:val="105"/>
                <w:sz w:val="19"/>
              </w:rPr>
              <w:t>28 de febrero de</w:t>
            </w:r>
            <w:r>
              <w:rPr>
                <w:spacing w:val="-32"/>
                <w:w w:val="105"/>
                <w:sz w:val="19"/>
              </w:rPr>
              <w:t> </w:t>
            </w:r>
            <w:r>
              <w:rPr>
                <w:w w:val="105"/>
                <w:sz w:val="19"/>
              </w:rPr>
              <w:t>2025</w:t>
            </w:r>
          </w:p>
          <w:p>
            <w:pPr>
              <w:pStyle w:val="TableParagraph"/>
              <w:tabs>
                <w:tab w:pos="1560" w:val="left" w:leader="none"/>
                <w:tab w:pos="2665" w:val="left" w:leader="none"/>
                <w:tab w:pos="4029" w:val="left" w:leader="none"/>
              </w:tabs>
              <w:spacing w:before="41"/>
              <w:rPr>
                <w:b/>
                <w:sz w:val="21"/>
              </w:rPr>
            </w:pPr>
            <w:r>
              <w:rPr>
                <w:b/>
                <w:sz w:val="21"/>
              </w:rPr>
              <w:t>Subgrupo:</w:t>
            </w:r>
            <w:r>
              <w:rPr>
                <w:rFonts w:ascii="Times New Roman" w:hAnsi="Times New Roman"/>
                <w:sz w:val="21"/>
              </w:rPr>
              <w:tab/>
            </w:r>
            <w:r>
              <w:rPr>
                <w:b/>
                <w:sz w:val="21"/>
              </w:rPr>
              <w:t>1</w:t>
            </w:r>
            <w:r>
              <w:rPr>
                <w:rFonts w:ascii="Times New Roman" w:hAnsi="Times New Roman"/>
                <w:sz w:val="21"/>
              </w:rPr>
              <w:tab/>
            </w:r>
            <w:r>
              <w:rPr>
                <w:b/>
                <w:sz w:val="21"/>
              </w:rPr>
              <w:t>Categoría:</w:t>
            </w:r>
            <w:r>
              <w:rPr>
                <w:rFonts w:ascii="Times New Roman" w:hAnsi="Times New Roman"/>
                <w:sz w:val="21"/>
              </w:rPr>
              <w:tab/>
            </w:r>
            <w:r>
              <w:rPr>
                <w:b/>
                <w:sz w:val="21"/>
              </w:rPr>
              <w:t>1</w:t>
            </w:r>
          </w:p>
        </w:tc>
      </w:tr>
      <w:tr>
        <w:trPr>
          <w:trHeight w:val="332" w:hRule="atLeast"/>
        </w:trPr>
        <w:tc>
          <w:tcPr>
            <w:tcW w:w="1268" w:type="dxa"/>
            <w:tcBorders>
              <w:top w:val="single" w:sz="6" w:space="0" w:color="000000"/>
              <w:left w:val="single" w:sz="4" w:space="0" w:color="000000"/>
              <w:bottom w:val="single" w:sz="18" w:space="0" w:color="000000"/>
              <w:right w:val="nil"/>
            </w:tcBorders>
          </w:tcPr>
          <w:p>
            <w:pPr>
              <w:pStyle w:val="TableParagraph"/>
              <w:spacing w:before="58"/>
              <w:ind w:left="97" w:right="28"/>
              <w:jc w:val="center"/>
              <w:rPr>
                <w:b/>
                <w:sz w:val="21"/>
              </w:rPr>
            </w:pPr>
            <w:r>
              <w:rPr>
                <w:b/>
                <w:sz w:val="21"/>
              </w:rPr>
              <w:t>Asegurado</w:t>
            </w:r>
          </w:p>
        </w:tc>
        <w:tc>
          <w:tcPr>
            <w:tcW w:w="4224" w:type="dxa"/>
            <w:tcBorders>
              <w:top w:val="single" w:sz="6" w:space="0" w:color="000000"/>
              <w:left w:val="nil"/>
              <w:bottom w:val="single" w:sz="18" w:space="0" w:color="000000"/>
              <w:right w:val="nil"/>
            </w:tcBorders>
          </w:tcPr>
          <w:p>
            <w:pPr>
              <w:pStyle w:val="TableParagraph"/>
              <w:ind w:left="0"/>
              <w:rPr>
                <w:rFonts w:ascii="Times New Roman"/>
                <w:sz w:val="20"/>
              </w:rPr>
            </w:pPr>
          </w:p>
        </w:tc>
        <w:tc>
          <w:tcPr>
            <w:tcW w:w="5507" w:type="dxa"/>
            <w:gridSpan w:val="2"/>
            <w:tcBorders>
              <w:top w:val="single" w:sz="6" w:space="0" w:color="000000"/>
              <w:left w:val="nil"/>
              <w:bottom w:val="single" w:sz="18" w:space="0" w:color="000000"/>
            </w:tcBorders>
          </w:tcPr>
          <w:p>
            <w:pPr>
              <w:pStyle w:val="TableParagraph"/>
              <w:tabs>
                <w:tab w:pos="3920" w:val="left" w:leader="none"/>
              </w:tabs>
              <w:spacing w:before="58"/>
              <w:ind w:left="490"/>
              <w:rPr>
                <w:b/>
                <w:sz w:val="21"/>
              </w:rPr>
            </w:pPr>
            <w:r>
              <w:rPr>
                <w:b/>
                <w:sz w:val="21"/>
              </w:rPr>
              <w:t>Sexo  Edad  F.</w:t>
            </w:r>
            <w:r>
              <w:rPr>
                <w:b/>
                <w:spacing w:val="-17"/>
                <w:sz w:val="21"/>
              </w:rPr>
              <w:t> </w:t>
            </w:r>
            <w:r>
              <w:rPr>
                <w:b/>
                <w:sz w:val="21"/>
              </w:rPr>
              <w:t>Nacimiento  </w:t>
            </w:r>
            <w:r>
              <w:rPr>
                <w:b/>
                <w:spacing w:val="4"/>
                <w:sz w:val="21"/>
              </w:rPr>
              <w:t> </w:t>
            </w:r>
            <w:r>
              <w:rPr>
                <w:b/>
                <w:sz w:val="21"/>
              </w:rPr>
              <w:t>Alta</w:t>
            </w:r>
            <w:r>
              <w:rPr>
                <w:rFonts w:ascii="Times New Roman" w:hAnsi="Times New Roman"/>
                <w:sz w:val="21"/>
              </w:rPr>
              <w:tab/>
            </w:r>
            <w:r>
              <w:rPr>
                <w:b/>
                <w:sz w:val="21"/>
              </w:rPr>
              <w:t>Antigüedad</w:t>
            </w:r>
          </w:p>
        </w:tc>
      </w:tr>
      <w:tr>
        <w:trPr>
          <w:trHeight w:val="329" w:hRule="atLeast"/>
        </w:trPr>
        <w:tc>
          <w:tcPr>
            <w:tcW w:w="10999" w:type="dxa"/>
            <w:gridSpan w:val="4"/>
            <w:tcBorders>
              <w:top w:val="single" w:sz="18" w:space="0" w:color="000000"/>
              <w:left w:val="single" w:sz="4" w:space="0" w:color="000000"/>
              <w:bottom w:val="single" w:sz="4" w:space="0" w:color="000000"/>
            </w:tcBorders>
          </w:tcPr>
          <w:p>
            <w:pPr>
              <w:pStyle w:val="TableParagraph"/>
              <w:ind w:left="0"/>
              <w:rPr>
                <w:rFonts w:ascii="Times New Roman"/>
                <w:sz w:val="20"/>
              </w:rPr>
            </w:pPr>
          </w:p>
        </w:tc>
      </w:tr>
    </w:tbl>
    <w:p>
      <w:pPr>
        <w:pStyle w:val="BodyText"/>
        <w:spacing w:before="9"/>
        <w:rPr>
          <w:b/>
          <w:sz w:val="7"/>
        </w:rPr>
      </w:pPr>
    </w:p>
    <w:p>
      <w:pPr>
        <w:pStyle w:val="BodyText"/>
        <w:ind w:left="177"/>
        <w:rPr>
          <w:sz w:val="20"/>
        </w:rPr>
      </w:pPr>
      <w:r>
        <w:rPr>
          <w:sz w:val="20"/>
        </w:rPr>
        <w:pict>
          <v:group style="width:552pt;height:31.1pt;mso-position-horizontal-relative:char;mso-position-vertical-relative:line" coordorigin="0,0" coordsize="11040,622">
            <v:shape style="position:absolute;left:0;top:7;width:11040;height:366" coordorigin="0,7" coordsize="11040,366" path="m10965,7l75,7,46,13,22,29,6,53,0,82,0,298,6,327,22,351,46,367,75,373,10965,373,10994,367,11018,351,11034,327,11040,298,11040,82,11034,53,11018,29,10994,13,10965,7xe" filled="true" fillcolor="#ccdded" stroked="false">
              <v:path arrowok="t"/>
              <v:fill type="solid"/>
            </v:shape>
            <v:shape style="position:absolute;left:0;top:7;width:11040;height:366" coordorigin="0,7" coordsize="11040,366" path="m75,7l10965,7,10994,13,11018,29,11034,53,11040,82,11040,298,11034,327,11018,351,10994,367,10965,373,75,373,46,367,22,351,6,327,0,298,0,82,6,53,22,29,46,13,75,7xe" filled="false" stroked="true" strokeweight="0pt" strokecolor="#000000">
              <v:path arrowok="t"/>
              <v:stroke dashstyle="solid"/>
            </v:shape>
            <v:shape style="position:absolute;left:0;top:367;width:11040;height:254" coordorigin="0,367" coordsize="11040,254" path="m75,367l10965,367,10994,373,11018,389,11034,413,11040,442,11040,546,11034,575,11018,599,10994,615,10965,621,75,621,46,615,22,599,6,575,0,546,0,442,6,413,22,389,46,373,75,367e" filled="false" stroked="true" strokeweight="0pt" strokecolor="#000000">
              <v:path arrowok="t"/>
              <v:stroke dashstyle="solid"/>
            </v:shape>
            <v:shape style="position:absolute;left:120;top:0;width:1024;height:235" type="#_x0000_t202" filled="false" stroked="false">
              <v:textbox inset="0,0,0,0">
                <w:txbxContent>
                  <w:p>
                    <w:pPr>
                      <w:spacing w:line="235" w:lineRule="exact" w:before="0"/>
                      <w:ind w:left="0" w:right="0" w:firstLine="0"/>
                      <w:jc w:val="left"/>
                      <w:rPr>
                        <w:b/>
                        <w:sz w:val="21"/>
                      </w:rPr>
                    </w:pPr>
                    <w:r>
                      <w:rPr>
                        <w:b/>
                        <w:sz w:val="21"/>
                      </w:rPr>
                      <w:t>Cobertura</w:t>
                    </w:r>
                  </w:p>
                </w:txbxContent>
              </v:textbox>
              <w10:wrap type="none"/>
            </v:shape>
            <v:shape style="position:absolute;left:9822;top:0;width:1118;height:235" type="#_x0000_t202" filled="false" stroked="false">
              <v:textbox inset="0,0,0,0">
                <w:txbxContent>
                  <w:p>
                    <w:pPr>
                      <w:spacing w:line="235" w:lineRule="exact" w:before="0"/>
                      <w:ind w:left="0" w:right="0" w:firstLine="0"/>
                      <w:jc w:val="left"/>
                      <w:rPr>
                        <w:b/>
                        <w:sz w:val="21"/>
                      </w:rPr>
                    </w:pPr>
                    <w:r>
                      <w:rPr>
                        <w:b/>
                        <w:sz w:val="21"/>
                      </w:rPr>
                      <w:t>Prima Neta</w:t>
                    </w:r>
                  </w:p>
                </w:txbxContent>
              </v:textbox>
              <w10:wrap type="none"/>
            </v:shape>
          </v:group>
        </w:pict>
      </w:r>
      <w:r>
        <w:rPr>
          <w:sz w:val="20"/>
        </w:rPr>
      </w:r>
    </w:p>
    <w:p>
      <w:pPr>
        <w:pStyle w:val="BodyText"/>
        <w:spacing w:line="194" w:lineRule="auto" w:before="11"/>
        <w:ind w:left="191" w:right="218"/>
        <w:jc w:val="both"/>
      </w:pPr>
      <w:r>
        <w:rPr/>
        <w:pict>
          <v:shape style="position:absolute;margin-left:23.85pt;margin-top:-73.882187pt;width:552pt;height:18.3pt;mso-position-horizontal-relative:page;mso-position-vertical-relative:paragraph;z-index:-251867136" coordorigin="477,-1478" coordsize="11040,366" path="m11442,-1478l552,-1478,523,-1472,499,-1456,483,-1432,477,-1403,477,-1187,483,-1158,499,-1134,523,-1118,552,-1112,11442,-1112,11471,-1118,11495,-1134,11511,-1158,11517,-1187,11517,-1403,11511,-1432,11495,-1456,11471,-1472,11442,-1478xe" filled="true" fillcolor="#ccdded" stroked="false">
            <v:path arrowok="t"/>
            <v:fill type="solid"/>
            <w10:wrap type="none"/>
          </v:shape>
        </w:pict>
      </w:r>
      <w:r>
        <w:rPr/>
        <w:pict>
          <v:group style="position:absolute;margin-left:23.85pt;margin-top:82.867813pt;width:552.5pt;height:171.75pt;mso-position-horizontal-relative:page;mso-position-vertical-relative:paragraph;z-index:-251866112" coordorigin="477,1657" coordsize="11050,3435">
            <v:shape style="position:absolute;left:477;top:1657;width:11040;height:366" coordorigin="477,1657" coordsize="11040,366" path="m11442,1657l552,1657,523,1663,499,1679,483,1703,477,1732,477,1948,483,1977,499,2001,523,2017,552,2023,11442,2023,11471,2017,11495,2001,11511,1977,11517,1948,11517,1732,11511,1703,11495,1679,11471,1663,11442,1657xe" filled="true" fillcolor="#ccdded" stroked="false">
              <v:path arrowok="t"/>
              <v:fill type="solid"/>
            </v:shape>
            <v:shape style="position:absolute;left:477;top:17497;width:11050;height:3435" coordorigin="477,17497" coordsize="11050,3435" path="m552,1657l11442,1657,11471,1663,11495,1679,11511,1703,11517,1732,11517,1948,11511,1977,11495,2001,11471,2017,11442,2023,552,2023,523,2017,499,2001,483,1977,477,1948,477,1732,483,1703,499,1679,523,1663,552,1657xm552,1997l11442,1997,11471,2003,11495,2019,11511,2043,11517,2072,11517,3262,11511,3291,11495,3315,11471,3331,11442,3337,552,3337,523,3331,499,3315,483,3291,477,3262,477,2072,483,2043,499,2019,523,2003,552,1997m552,3357l6162,3357,6191,3363,6215,3379,6231,3403,6237,3432,6237,5017,6231,5046,6215,5070,6191,5086,6162,5092,552,5092,523,5086,499,5070,483,5046,477,5017,477,3432,483,3403,499,3379,523,3363,552,3357m8842,3372l11442,3372,11475,3378,11502,3394,11520,3418,11527,3447,11527,4987,11520,5016,11502,5040,11475,5056,11442,5062,8842,5062,8809,5056,8782,5040,8764,5016,8757,4987,8757,3447,8764,3418,8782,3394,8809,3378,8842,3372m6332,3357l8667,3357,8696,3363,8720,3379,8736,3403,8742,3432,8742,5002,8736,5031,8720,5055,8696,5071,8667,5077,6332,5077,6303,5071,6279,5055,6263,5031,6257,5002,6257,3432,6263,3403,6279,3379,6303,3363,6332,3357e" filled="false" stroked="true" strokeweight="0pt" strokecolor="#000000">
              <v:path arrowok="t"/>
              <v:stroke dashstyle="solid"/>
            </v:shape>
            <v:shape style="position:absolute;left:8907;top:3457;width:2470;height:1110" type="#_x0000_t75" stroked="false">
              <v:imagedata r:id="rId7" o:title=""/>
            </v:shape>
            <w10:wrap type="none"/>
          </v:group>
        </w:pict>
      </w:r>
      <w:r>
        <w:rPr>
          <w:w w:val="105"/>
        </w:rPr>
        <w:t>“Advertencia: En el caso de que se desee  nombrar  beneficiarios  a  menores  de  edad,  no  se  debe  señalar  a  un</w:t>
      </w:r>
      <w:r>
        <w:rPr>
          <w:spacing w:val="55"/>
          <w:w w:val="105"/>
        </w:rPr>
        <w:t> </w:t>
      </w:r>
      <w:r>
        <w:rPr>
          <w:w w:val="105"/>
        </w:rPr>
        <w:t>mayor de edad como representante de los menores para efecto de que,</w:t>
      </w:r>
      <w:r>
        <w:rPr>
          <w:spacing w:val="55"/>
          <w:w w:val="105"/>
        </w:rPr>
        <w:t> </w:t>
      </w:r>
      <w:r>
        <w:rPr>
          <w:w w:val="105"/>
        </w:rPr>
        <w:t>en  su  representación,  cobre  la  indemnización.Lo anterior porque las legislaciones civiles previenen la  forma  en  que  debe  designarse  tutores ,</w:t>
      </w:r>
      <w:r>
        <w:rPr>
          <w:spacing w:val="55"/>
          <w:w w:val="105"/>
        </w:rPr>
        <w:t> </w:t>
      </w:r>
      <w:r>
        <w:rPr>
          <w:w w:val="105"/>
        </w:rPr>
        <w:t>albaceas, representantes de herederos u otros cargos similares y no consideran al contrato de seguro  como  el</w:t>
      </w:r>
      <w:r>
        <w:rPr>
          <w:spacing w:val="55"/>
          <w:w w:val="105"/>
        </w:rPr>
        <w:t> </w:t>
      </w:r>
      <w:r>
        <w:rPr>
          <w:w w:val="105"/>
        </w:rPr>
        <w:t>instrumento adecuado para tales designaciones. La designación que se hiciera de un  mayor  de  edad  como</w:t>
      </w:r>
      <w:r>
        <w:rPr>
          <w:spacing w:val="55"/>
          <w:w w:val="105"/>
        </w:rPr>
        <w:t> </w:t>
      </w:r>
      <w:r>
        <w:rPr>
          <w:w w:val="105"/>
        </w:rPr>
        <w:t>representante de menores beneficiarios, durante la minoría de edad  de  ellos,  legalmente  puede  implicar  que  se</w:t>
      </w:r>
      <w:r>
        <w:rPr>
          <w:spacing w:val="55"/>
          <w:w w:val="105"/>
        </w:rPr>
        <w:t> </w:t>
      </w:r>
      <w:r>
        <w:rPr>
          <w:w w:val="105"/>
        </w:rPr>
        <w:t>nombra</w:t>
      </w:r>
      <w:r>
        <w:rPr>
          <w:spacing w:val="55"/>
          <w:w w:val="105"/>
        </w:rPr>
        <w:t> </w:t>
      </w:r>
      <w:r>
        <w:rPr>
          <w:w w:val="105"/>
        </w:rPr>
        <w:t>beneficiario  al  mayor  de  edad,  quien  en  todo  caso  sólo  tendría  una  obligación  moral,  pues   la   designación que se hace de beneficiarios en  un  contrato  de  seguro  le  concede  el  derecho  incondicionado  de</w:t>
      </w:r>
      <w:r>
        <w:rPr>
          <w:spacing w:val="55"/>
          <w:w w:val="105"/>
        </w:rPr>
        <w:t> </w:t>
      </w:r>
      <w:r>
        <w:rPr>
          <w:w w:val="105"/>
        </w:rPr>
        <w:t>disponer de la suma</w:t>
      </w:r>
      <w:r>
        <w:rPr>
          <w:spacing w:val="-6"/>
          <w:w w:val="105"/>
        </w:rPr>
        <w:t> </w:t>
      </w:r>
      <w:r>
        <w:rPr>
          <w:w w:val="105"/>
        </w:rPr>
        <w:t>asegurada”.</w:t>
      </w:r>
    </w:p>
    <w:p>
      <w:pPr>
        <w:pStyle w:val="Heading2"/>
        <w:tabs>
          <w:tab w:pos="5921" w:val="left" w:leader="none"/>
          <w:tab w:pos="8816" w:val="left" w:leader="none"/>
        </w:tabs>
        <w:spacing w:line="240" w:lineRule="auto" w:before="133"/>
        <w:ind w:left="297"/>
      </w:pPr>
      <w:r>
        <w:rPr/>
        <w:t>Beneficiario</w:t>
      </w:r>
      <w:r>
        <w:rPr>
          <w:rFonts w:ascii="Times New Roman"/>
          <w:b w:val="0"/>
        </w:rPr>
        <w:tab/>
      </w:r>
      <w:r>
        <w:rPr/>
        <w:t>Parentesco</w:t>
      </w:r>
      <w:r>
        <w:rPr>
          <w:rFonts w:ascii="Times New Roman"/>
          <w:b w:val="0"/>
        </w:rPr>
        <w:tab/>
      </w:r>
      <w:r>
        <w:rPr/>
        <w:t>Porcentaje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15"/>
        </w:rPr>
      </w:pPr>
    </w:p>
    <w:p>
      <w:pPr>
        <w:spacing w:after="0"/>
        <w:rPr>
          <w:sz w:val="15"/>
        </w:rPr>
        <w:sectPr>
          <w:footerReference w:type="default" r:id="rId5"/>
          <w:type w:val="continuous"/>
          <w:pgSz w:w="12240" w:h="15840"/>
          <w:pgMar w:footer="809" w:top="320" w:bottom="1000" w:left="300" w:right="520"/>
          <w:pgNumType w:start="1"/>
        </w:sectPr>
      </w:pPr>
    </w:p>
    <w:p>
      <w:pPr>
        <w:spacing w:line="196" w:lineRule="auto" w:before="129"/>
        <w:ind w:left="236" w:right="0" w:firstLine="0"/>
        <w:jc w:val="both"/>
        <w:rPr>
          <w:b/>
          <w:sz w:val="21"/>
        </w:rPr>
      </w:pPr>
      <w:r>
        <w:rPr>
          <w:b/>
          <w:sz w:val="21"/>
        </w:rPr>
        <w:t>Zurich  Aseguradora  Mexicana,  S.A.   de   C.V.,  certifica que el  asegurado  anotado  en  este  certificado  forma  parte   de   la   colectividad asegurada  bajo  la  póliza  arriba   citada   y   gozará   de la protección que esta le otorga, desde </w:t>
      </w:r>
      <w:r>
        <w:rPr>
          <w:b/>
          <w:spacing w:val="-7"/>
          <w:sz w:val="21"/>
        </w:rPr>
        <w:t>la</w:t>
      </w:r>
      <w:r>
        <w:rPr>
          <w:b/>
          <w:spacing w:val="44"/>
          <w:sz w:val="21"/>
        </w:rPr>
        <w:t> </w:t>
      </w:r>
      <w:r>
        <w:rPr>
          <w:b/>
          <w:sz w:val="21"/>
        </w:rPr>
        <w:t>inscripción  en  el   registro   de   asegurados,   hasta   la  terminación  de  la   misma   y   mientras  pertenezcan a la</w:t>
      </w:r>
      <w:r>
        <w:rPr>
          <w:b/>
          <w:spacing w:val="-4"/>
          <w:sz w:val="21"/>
        </w:rPr>
        <w:t> </w:t>
      </w:r>
      <w:r>
        <w:rPr>
          <w:b/>
          <w:sz w:val="21"/>
        </w:rPr>
        <w:t>colectividad.</w:t>
      </w:r>
    </w:p>
    <w:p>
      <w:pPr>
        <w:pStyle w:val="BodyText"/>
        <w:rPr>
          <w:b/>
          <w:sz w:val="22"/>
        </w:rPr>
      </w:pPr>
      <w:r>
        <w:rPr/>
        <w:br w:type="column"/>
      </w:r>
      <w:r>
        <w:rPr>
          <w:b/>
          <w:sz w:val="22"/>
        </w:rPr>
      </w:r>
    </w:p>
    <w:p>
      <w:pPr>
        <w:pStyle w:val="BodyText"/>
        <w:rPr>
          <w:b/>
          <w:sz w:val="22"/>
        </w:rPr>
      </w:pPr>
    </w:p>
    <w:p>
      <w:pPr>
        <w:pStyle w:val="BodyText"/>
        <w:rPr>
          <w:b/>
          <w:sz w:val="22"/>
        </w:rPr>
      </w:pPr>
    </w:p>
    <w:p>
      <w:pPr>
        <w:pStyle w:val="BodyText"/>
        <w:rPr>
          <w:b/>
          <w:sz w:val="22"/>
        </w:rPr>
      </w:pPr>
    </w:p>
    <w:p>
      <w:pPr>
        <w:pStyle w:val="BodyText"/>
        <w:spacing w:before="8"/>
        <w:rPr>
          <w:b/>
          <w:sz w:val="29"/>
        </w:rPr>
      </w:pPr>
    </w:p>
    <w:p>
      <w:pPr>
        <w:spacing w:before="0"/>
        <w:ind w:left="165" w:right="0" w:firstLine="0"/>
        <w:jc w:val="left"/>
        <w:rPr>
          <w:b/>
          <w:sz w:val="21"/>
        </w:rPr>
      </w:pPr>
      <w:r>
        <w:rPr>
          <w:b/>
          <w:sz w:val="21"/>
        </w:rPr>
        <w:t>Firma del Solicitante</w:t>
      </w:r>
    </w:p>
    <w:p>
      <w:pPr>
        <w:pStyle w:val="BodyText"/>
        <w:rPr>
          <w:b/>
          <w:sz w:val="22"/>
        </w:rPr>
      </w:pPr>
      <w:r>
        <w:rPr/>
        <w:br w:type="column"/>
      </w:r>
      <w:r>
        <w:rPr>
          <w:b/>
          <w:sz w:val="22"/>
        </w:rPr>
      </w:r>
    </w:p>
    <w:p>
      <w:pPr>
        <w:pStyle w:val="BodyText"/>
        <w:rPr>
          <w:b/>
          <w:sz w:val="22"/>
        </w:rPr>
      </w:pPr>
    </w:p>
    <w:p>
      <w:pPr>
        <w:pStyle w:val="BodyText"/>
        <w:rPr>
          <w:b/>
          <w:sz w:val="22"/>
        </w:rPr>
      </w:pPr>
    </w:p>
    <w:p>
      <w:pPr>
        <w:pStyle w:val="BodyText"/>
        <w:rPr>
          <w:b/>
          <w:sz w:val="22"/>
        </w:rPr>
      </w:pPr>
    </w:p>
    <w:p>
      <w:pPr>
        <w:pStyle w:val="BodyText"/>
        <w:spacing w:before="8"/>
        <w:rPr>
          <w:b/>
          <w:sz w:val="29"/>
        </w:rPr>
      </w:pPr>
    </w:p>
    <w:p>
      <w:pPr>
        <w:spacing w:before="0"/>
        <w:ind w:left="236" w:right="0" w:firstLine="0"/>
        <w:jc w:val="left"/>
        <w:rPr>
          <w:b/>
          <w:sz w:val="21"/>
        </w:rPr>
      </w:pPr>
      <w:r>
        <w:rPr>
          <w:b/>
          <w:sz w:val="21"/>
        </w:rPr>
        <w:t>Funcionario Autorizado</w:t>
      </w:r>
    </w:p>
    <w:p>
      <w:pPr>
        <w:spacing w:after="0"/>
        <w:jc w:val="left"/>
        <w:rPr>
          <w:sz w:val="21"/>
        </w:rPr>
        <w:sectPr>
          <w:type w:val="continuous"/>
          <w:pgSz w:w="12240" w:h="15840"/>
          <w:pgMar w:top="320" w:bottom="1000" w:left="300" w:right="520"/>
          <w:cols w:num="3" w:equalWidth="0">
            <w:col w:w="5862" w:space="40"/>
            <w:col w:w="2260" w:space="168"/>
            <w:col w:w="3090"/>
          </w:cols>
        </w:sectPr>
      </w:pPr>
    </w:p>
    <w:p>
      <w:pPr>
        <w:pStyle w:val="BodyText"/>
        <w:spacing w:before="2"/>
        <w:rPr>
          <w:b/>
        </w:rPr>
      </w:pPr>
    </w:p>
    <w:p>
      <w:pPr>
        <w:tabs>
          <w:tab w:pos="4866" w:val="left" w:leader="none"/>
          <w:tab w:pos="5563" w:val="left" w:leader="none"/>
          <w:tab w:pos="7854" w:val="left" w:leader="none"/>
          <w:tab w:pos="8949" w:val="left" w:leader="none"/>
        </w:tabs>
        <w:spacing w:before="93"/>
        <w:ind w:left="177" w:right="0" w:firstLine="0"/>
        <w:jc w:val="both"/>
        <w:rPr>
          <w:sz w:val="18"/>
        </w:rPr>
      </w:pPr>
      <w:r>
        <w:rPr>
          <w:sz w:val="18"/>
        </w:rPr>
        <w:t>Firmado</w:t>
      </w:r>
      <w:r>
        <w:rPr>
          <w:spacing w:val="-3"/>
          <w:sz w:val="18"/>
        </w:rPr>
        <w:t> </w:t>
      </w:r>
      <w:r>
        <w:rPr>
          <w:sz w:val="18"/>
        </w:rPr>
        <w:t>en</w:t>
      </w:r>
      <w:r>
        <w:rPr>
          <w:spacing w:val="-2"/>
          <w:sz w:val="18"/>
        </w:rPr>
        <w:t> </w:t>
      </w:r>
      <w:r>
        <w:rPr>
          <w:sz w:val="18"/>
        </w:rPr>
        <w:t>:</w:t>
      </w:r>
      <w:r>
        <w:rPr>
          <w:sz w:val="18"/>
          <w:u w:val="single"/>
        </w:rPr>
        <w:t> </w:t>
        <w:tab/>
      </w:r>
      <w:r>
        <w:rPr>
          <w:sz w:val="18"/>
        </w:rPr>
        <w:t>a</w:t>
      </w:r>
      <w:r>
        <w:rPr>
          <w:sz w:val="18"/>
          <w:u w:val="single"/>
        </w:rPr>
        <w:t> </w:t>
        <w:tab/>
      </w:r>
      <w:r>
        <w:rPr>
          <w:sz w:val="18"/>
        </w:rPr>
        <w:t>de</w:t>
      </w:r>
      <w:r>
        <w:rPr>
          <w:sz w:val="18"/>
          <w:u w:val="single"/>
        </w:rPr>
        <w:t> </w:t>
        <w:tab/>
      </w:r>
      <w:r>
        <w:rPr>
          <w:sz w:val="18"/>
        </w:rPr>
        <w:t>de</w:t>
      </w:r>
      <w:r>
        <w:rPr>
          <w:sz w:val="18"/>
          <w:u w:val="single"/>
        </w:rPr>
        <w:t> </w:t>
        <w:tab/>
      </w:r>
      <w:r>
        <w:rPr>
          <w:sz w:val="18"/>
        </w:rPr>
        <w:t>.</w:t>
      </w:r>
    </w:p>
    <w:p>
      <w:pPr>
        <w:pStyle w:val="Heading2"/>
        <w:spacing w:line="280" w:lineRule="auto" w:before="84"/>
        <w:ind w:left="207" w:right="181"/>
      </w:pPr>
      <w:r>
        <w:rPr/>
        <w:t>Le sugerimos consultar las COBERTURAS, EXCLUSIONES y RESTRICCIONES del seguro en  las  Condiciones  Generales  del  contrato  que  le  son  entregadas   y   que   además   se   encuentran  disponibles en</w:t>
      </w:r>
      <w:r>
        <w:rPr>
          <w:spacing w:val="-2"/>
        </w:rPr>
        <w:t> </w:t>
      </w:r>
      <w:hyperlink r:id="rId8">
        <w:r>
          <w:rPr/>
          <w:t>www.zurich.com.mx/es-mx/cliente-zurich/formatos-y-condiciones-generales.</w:t>
        </w:r>
      </w:hyperlink>
    </w:p>
    <w:p>
      <w:pPr>
        <w:spacing w:after="0" w:line="280" w:lineRule="auto"/>
        <w:sectPr>
          <w:type w:val="continuous"/>
          <w:pgSz w:w="12240" w:h="15840"/>
          <w:pgMar w:top="320" w:bottom="1000" w:left="300" w:right="520"/>
        </w:sectPr>
      </w:pPr>
    </w:p>
    <w:p>
      <w:pPr>
        <w:spacing w:line="238" w:lineRule="exact" w:before="70"/>
        <w:ind w:left="147" w:right="0" w:firstLine="0"/>
        <w:jc w:val="both"/>
        <w:rPr>
          <w:b/>
          <w:sz w:val="21"/>
        </w:rPr>
      </w:pPr>
      <w:r>
        <w:rPr/>
        <w:pict>
          <v:rect style="position:absolute;margin-left:20.85pt;margin-top:14.7pt;width:559pt;height:684.45pt;mso-position-horizontal-relative:page;mso-position-vertical-relative:page;z-index:-251864064" filled="false" stroked="true" strokeweight="1pt" strokecolor="#000000">
            <v:stroke dashstyle="solid"/>
            <w10:wrap type="none"/>
          </v:rect>
        </w:pict>
      </w:r>
      <w:r>
        <w:rPr>
          <w:b/>
          <w:sz w:val="21"/>
        </w:rPr>
        <w:t>Cobertura básica</w:t>
      </w:r>
    </w:p>
    <w:p>
      <w:pPr>
        <w:pStyle w:val="BodyText"/>
        <w:spacing w:line="235" w:lineRule="auto"/>
        <w:ind w:left="146" w:right="169"/>
        <w:jc w:val="both"/>
      </w:pPr>
      <w:r>
        <w:rPr>
          <w:w w:val="105"/>
        </w:rPr>
        <w:t>Zurich Aseguradora Mexicana, S.A. de C.V., denominada en adelante simplemente como ZAM,</w:t>
      </w:r>
      <w:r>
        <w:rPr>
          <w:spacing w:val="55"/>
          <w:w w:val="105"/>
        </w:rPr>
        <w:t> </w:t>
      </w:r>
      <w:r>
        <w:rPr>
          <w:w w:val="105"/>
        </w:rPr>
        <w:t>pagará  la  Suma  Asegurada en vigor de esta cobertura, a  los  beneficiarios  correspondientes,  si  el  asegurado  fallece  mientras  esta</w:t>
      </w:r>
      <w:r>
        <w:rPr>
          <w:spacing w:val="55"/>
          <w:w w:val="105"/>
        </w:rPr>
        <w:t> </w:t>
      </w:r>
      <w:r>
        <w:rPr>
          <w:w w:val="105"/>
        </w:rPr>
        <w:t>Póliza y su Certificado se encuentran en</w:t>
      </w:r>
      <w:r>
        <w:rPr>
          <w:spacing w:val="-10"/>
          <w:w w:val="105"/>
        </w:rPr>
        <w:t> </w:t>
      </w:r>
      <w:r>
        <w:rPr>
          <w:w w:val="105"/>
        </w:rPr>
        <w:t>vigor.</w:t>
      </w:r>
    </w:p>
    <w:p>
      <w:pPr>
        <w:pStyle w:val="BodyText"/>
        <w:spacing w:before="1"/>
      </w:pPr>
    </w:p>
    <w:p>
      <w:pPr>
        <w:pStyle w:val="Heading2"/>
        <w:ind w:left="146"/>
      </w:pPr>
      <w:r>
        <w:rPr/>
        <w:t>Edades de aceptación</w:t>
      </w:r>
    </w:p>
    <w:p>
      <w:pPr>
        <w:pStyle w:val="BodyText"/>
        <w:spacing w:line="235" w:lineRule="auto"/>
        <w:ind w:left="147" w:right="153"/>
        <w:jc w:val="both"/>
      </w:pPr>
      <w:r>
        <w:rPr>
          <w:w w:val="105"/>
        </w:rPr>
        <w:t>Los límites de admisión  fijados  por  ZAM  para  la  cobertura  por  fallecimiento  son  de  15  años  como  mínimo  y</w:t>
      </w:r>
      <w:r>
        <w:rPr>
          <w:spacing w:val="55"/>
          <w:w w:val="105"/>
        </w:rPr>
        <w:t> </w:t>
      </w:r>
      <w:r>
        <w:rPr>
          <w:w w:val="105"/>
        </w:rPr>
        <w:t>70  años</w:t>
      </w:r>
      <w:r>
        <w:rPr>
          <w:spacing w:val="-4"/>
          <w:w w:val="105"/>
        </w:rPr>
        <w:t> </w:t>
      </w:r>
      <w:r>
        <w:rPr>
          <w:w w:val="105"/>
        </w:rPr>
        <w:t>de</w:t>
      </w:r>
      <w:r>
        <w:rPr>
          <w:spacing w:val="-4"/>
          <w:w w:val="105"/>
        </w:rPr>
        <w:t> </w:t>
      </w:r>
      <w:r>
        <w:rPr>
          <w:w w:val="105"/>
        </w:rPr>
        <w:t>edad</w:t>
      </w:r>
      <w:r>
        <w:rPr>
          <w:spacing w:val="-3"/>
          <w:w w:val="105"/>
        </w:rPr>
        <w:t> </w:t>
      </w:r>
      <w:r>
        <w:rPr>
          <w:w w:val="105"/>
        </w:rPr>
        <w:t>como</w:t>
      </w:r>
      <w:r>
        <w:rPr>
          <w:spacing w:val="-4"/>
          <w:w w:val="105"/>
        </w:rPr>
        <w:t> </w:t>
      </w:r>
      <w:r>
        <w:rPr>
          <w:w w:val="105"/>
        </w:rPr>
        <w:t>máximo,</w:t>
      </w:r>
      <w:r>
        <w:rPr>
          <w:spacing w:val="-4"/>
          <w:w w:val="105"/>
        </w:rPr>
        <w:t> </w:t>
      </w:r>
      <w:r>
        <w:rPr>
          <w:w w:val="105"/>
        </w:rPr>
        <w:t>sin</w:t>
      </w:r>
      <w:r>
        <w:rPr>
          <w:spacing w:val="-3"/>
          <w:w w:val="105"/>
        </w:rPr>
        <w:t> </w:t>
      </w:r>
      <w:r>
        <w:rPr>
          <w:w w:val="105"/>
        </w:rPr>
        <w:t>que</w:t>
      </w:r>
      <w:r>
        <w:rPr>
          <w:spacing w:val="-4"/>
          <w:w w:val="105"/>
        </w:rPr>
        <w:t> </w:t>
      </w:r>
      <w:r>
        <w:rPr>
          <w:w w:val="105"/>
        </w:rPr>
        <w:t>existan</w:t>
      </w:r>
      <w:r>
        <w:rPr>
          <w:spacing w:val="-4"/>
          <w:w w:val="105"/>
        </w:rPr>
        <w:t> </w:t>
      </w:r>
      <w:r>
        <w:rPr>
          <w:w w:val="105"/>
        </w:rPr>
        <w:t>límites</w:t>
      </w:r>
      <w:r>
        <w:rPr>
          <w:spacing w:val="-3"/>
          <w:w w:val="105"/>
        </w:rPr>
        <w:t> </w:t>
      </w:r>
      <w:r>
        <w:rPr>
          <w:w w:val="105"/>
        </w:rPr>
        <w:t>máximos</w:t>
      </w:r>
      <w:r>
        <w:rPr>
          <w:spacing w:val="-4"/>
          <w:w w:val="105"/>
        </w:rPr>
        <w:t> </w:t>
      </w:r>
      <w:r>
        <w:rPr>
          <w:w w:val="105"/>
        </w:rPr>
        <w:t>de</w:t>
      </w:r>
      <w:r>
        <w:rPr>
          <w:spacing w:val="-4"/>
          <w:w w:val="105"/>
        </w:rPr>
        <w:t> </w:t>
      </w:r>
      <w:r>
        <w:rPr>
          <w:w w:val="105"/>
        </w:rPr>
        <w:t>edad</w:t>
      </w:r>
      <w:r>
        <w:rPr>
          <w:spacing w:val="-3"/>
          <w:w w:val="105"/>
        </w:rPr>
        <w:t> </w:t>
      </w:r>
      <w:r>
        <w:rPr>
          <w:w w:val="105"/>
        </w:rPr>
        <w:t>en</w:t>
      </w:r>
      <w:r>
        <w:rPr>
          <w:spacing w:val="-4"/>
          <w:w w:val="105"/>
        </w:rPr>
        <w:t> </w:t>
      </w:r>
      <w:r>
        <w:rPr>
          <w:w w:val="105"/>
        </w:rPr>
        <w:t>las</w:t>
      </w:r>
      <w:r>
        <w:rPr>
          <w:spacing w:val="-4"/>
          <w:w w:val="105"/>
        </w:rPr>
        <w:t> </w:t>
      </w:r>
      <w:r>
        <w:rPr>
          <w:w w:val="105"/>
        </w:rPr>
        <w:t>renovaciones</w:t>
      </w:r>
      <w:r>
        <w:rPr>
          <w:spacing w:val="-3"/>
          <w:w w:val="105"/>
        </w:rPr>
        <w:t> </w:t>
      </w:r>
      <w:r>
        <w:rPr>
          <w:w w:val="105"/>
        </w:rPr>
        <w:t>subsecuentes.</w:t>
      </w:r>
    </w:p>
    <w:p>
      <w:pPr>
        <w:pStyle w:val="BodyText"/>
      </w:pPr>
    </w:p>
    <w:p>
      <w:pPr>
        <w:pStyle w:val="Heading2"/>
        <w:jc w:val="left"/>
      </w:pPr>
      <w:r>
        <w:rPr/>
        <w:t>Prescripción</w:t>
      </w:r>
    </w:p>
    <w:p>
      <w:pPr>
        <w:pStyle w:val="BodyText"/>
        <w:spacing w:line="235" w:lineRule="auto"/>
        <w:ind w:left="147" w:right="162"/>
        <w:jc w:val="both"/>
      </w:pPr>
      <w:r>
        <w:rPr>
          <w:spacing w:val="-5"/>
          <w:w w:val="105"/>
        </w:rPr>
        <w:t>Todas </w:t>
      </w:r>
      <w:r>
        <w:rPr>
          <w:w w:val="105"/>
        </w:rPr>
        <w:t>las acciones que se deriven de</w:t>
      </w:r>
      <w:r>
        <w:rPr>
          <w:spacing w:val="55"/>
          <w:w w:val="105"/>
        </w:rPr>
        <w:t> </w:t>
      </w:r>
      <w:r>
        <w:rPr>
          <w:w w:val="105"/>
        </w:rPr>
        <w:t>un  contrato  de  seguro  prescribirán:  I.-  En  cinco  años,  tratándose  de  la  cobertura de fallecimiento. II.- En dos años, en los demás casos. Estos plazos serán contados desde la fecha del acontecimiento  que  les  dio  origen,  conforme</w:t>
      </w:r>
      <w:r>
        <w:rPr>
          <w:spacing w:val="55"/>
          <w:w w:val="105"/>
        </w:rPr>
        <w:t> </w:t>
      </w:r>
      <w:r>
        <w:rPr>
          <w:w w:val="105"/>
        </w:rPr>
        <w:t>al  Art.  81,  de  la  Ley  Sobre  el   Contrato   de   Seguro,   salvo   los   casos   de   excepción,   consignados   en   el   Art.  82   de   la   misma    Ley.   La   prescripción   se    interrumpirá   no  </w:t>
      </w:r>
      <w:r>
        <w:rPr>
          <w:spacing w:val="55"/>
          <w:w w:val="105"/>
        </w:rPr>
        <w:t> </w:t>
      </w:r>
      <w:r>
        <w:rPr>
          <w:w w:val="105"/>
        </w:rPr>
        <w:t>solo por las causas ordinarias,</w:t>
      </w:r>
      <w:r>
        <w:rPr>
          <w:spacing w:val="55"/>
          <w:w w:val="105"/>
        </w:rPr>
        <w:t> </w:t>
      </w:r>
      <w:r>
        <w:rPr>
          <w:w w:val="105"/>
        </w:rPr>
        <w:t>sino  también  por  aquellas  a  que  se  refiera  la  Ley  de  Protección  y  Defensa  al  Usuario de Servicios</w:t>
      </w:r>
      <w:r>
        <w:rPr>
          <w:spacing w:val="-4"/>
          <w:w w:val="105"/>
        </w:rPr>
        <w:t> </w:t>
      </w:r>
      <w:r>
        <w:rPr>
          <w:w w:val="105"/>
        </w:rPr>
        <w:t>Financieros.</w:t>
      </w:r>
    </w:p>
    <w:p>
      <w:pPr>
        <w:pStyle w:val="BodyText"/>
        <w:spacing w:before="3"/>
      </w:pPr>
    </w:p>
    <w:p>
      <w:pPr>
        <w:pStyle w:val="Heading2"/>
        <w:spacing w:before="1"/>
        <w:jc w:val="left"/>
      </w:pPr>
      <w:r>
        <w:rPr/>
        <w:t>Competencia</w:t>
      </w:r>
    </w:p>
    <w:p>
      <w:pPr>
        <w:pStyle w:val="BodyText"/>
        <w:spacing w:line="235" w:lineRule="auto"/>
        <w:ind w:left="147" w:right="177"/>
        <w:jc w:val="both"/>
      </w:pPr>
      <w:r>
        <w:rPr>
          <w:w w:val="105"/>
        </w:rPr>
        <w:t>En caso de  controversia,  el  reclamante  podrá  hacer  valer  sus  derechos  ante  la  Unidad  Especializada  de  Atención</w:t>
      </w:r>
      <w:r>
        <w:rPr>
          <w:spacing w:val="55"/>
          <w:w w:val="105"/>
        </w:rPr>
        <w:t> </w:t>
      </w:r>
      <w:r>
        <w:rPr>
          <w:w w:val="105"/>
        </w:rPr>
        <w:t>de Consultas y  Reclamaciones  de  ZAM  o  en  la  Comisión  Nacional  para  la  Protección  y  Defensa  de  los  Usuarios</w:t>
      </w:r>
      <w:r>
        <w:rPr>
          <w:spacing w:val="55"/>
          <w:w w:val="105"/>
        </w:rPr>
        <w:t> </w:t>
      </w:r>
      <w:r>
        <w:rPr>
          <w:w w:val="105"/>
        </w:rPr>
        <w:t>de Servicios Financieros (CONDUSEF). En todo caso, el reclamante</w:t>
      </w:r>
      <w:r>
        <w:rPr>
          <w:spacing w:val="55"/>
          <w:w w:val="105"/>
        </w:rPr>
        <w:t> </w:t>
      </w:r>
      <w:r>
        <w:rPr>
          <w:w w:val="105"/>
        </w:rPr>
        <w:t>podrá  acudir  directamente  ante  el  juez  del  domicilio de cualquier delegación de la CONDUSEF, en términos de lo dispuesto en el artículo 277 de la Ley  de  Instituciones de Seguros y</w:t>
      </w:r>
      <w:r>
        <w:rPr>
          <w:spacing w:val="-5"/>
          <w:w w:val="105"/>
        </w:rPr>
        <w:t> </w:t>
      </w:r>
      <w:r>
        <w:rPr>
          <w:w w:val="105"/>
        </w:rPr>
        <w:t>Fianzas.</w:t>
      </w:r>
    </w:p>
    <w:p>
      <w:pPr>
        <w:pStyle w:val="BodyText"/>
        <w:spacing w:before="2"/>
      </w:pPr>
    </w:p>
    <w:p>
      <w:pPr>
        <w:pStyle w:val="Heading2"/>
        <w:spacing w:before="1"/>
        <w:jc w:val="left"/>
      </w:pPr>
      <w:r>
        <w:rPr/>
        <w:t>Interés Moratorio</w:t>
      </w:r>
    </w:p>
    <w:p>
      <w:pPr>
        <w:pStyle w:val="BodyText"/>
        <w:spacing w:line="235" w:lineRule="auto"/>
        <w:ind w:left="147" w:right="187"/>
        <w:jc w:val="both"/>
      </w:pPr>
      <w:r>
        <w:rPr>
          <w:w w:val="105"/>
        </w:rPr>
        <w:t>En caso de mora, ZAM  deberá  pagar  al  asegurado  o  beneficiario  una  indemnización  de  conformidad  con  lo  dispuesto en el artículo 276 de la Ley de Instituciones de Seguros y Fianzas</w:t>
      </w:r>
      <w:r>
        <w:rPr>
          <w:spacing w:val="-31"/>
          <w:w w:val="105"/>
        </w:rPr>
        <w:t> </w:t>
      </w:r>
      <w:r>
        <w:rPr>
          <w:w w:val="105"/>
        </w:rPr>
        <w:t>(LISF).</w:t>
      </w:r>
    </w:p>
    <w:p>
      <w:pPr>
        <w:pStyle w:val="BodyText"/>
      </w:pPr>
    </w:p>
    <w:p>
      <w:pPr>
        <w:pStyle w:val="Heading2"/>
        <w:spacing w:line="241" w:lineRule="exact"/>
      </w:pPr>
      <w:r>
        <w:rPr/>
        <w:t>Transcripción de Artículos del Reglamento del Seguro de Grupo</w:t>
      </w:r>
    </w:p>
    <w:p>
      <w:pPr>
        <w:pStyle w:val="BodyText"/>
        <w:spacing w:line="235" w:lineRule="auto" w:before="3"/>
        <w:ind w:left="147" w:right="151"/>
        <w:jc w:val="both"/>
      </w:pPr>
      <w:r>
        <w:rPr>
          <w:b/>
          <w:w w:val="105"/>
          <w:sz w:val="21"/>
        </w:rPr>
        <w:t>Artículo 17</w:t>
      </w:r>
      <w:r>
        <w:rPr>
          <w:b/>
          <w:w w:val="105"/>
        </w:rPr>
        <w:t>.  </w:t>
      </w:r>
      <w:r>
        <w:rPr>
          <w:w w:val="105"/>
        </w:rPr>
        <w:t>“Las  personas  que  ingresen  al  Grupo  Asegurado  con  posterioridad  a  la  celebración  del  contrato  y</w:t>
      </w:r>
      <w:r>
        <w:rPr>
          <w:spacing w:val="55"/>
          <w:w w:val="105"/>
        </w:rPr>
        <w:t> </w:t>
      </w:r>
      <w:r>
        <w:rPr>
          <w:w w:val="105"/>
        </w:rPr>
        <w:t>que hayan dado su consentimiento para ser asegurados dentro de los 30 días naturales  siguientes  a  su  ingreso ,</w:t>
      </w:r>
      <w:r>
        <w:rPr>
          <w:spacing w:val="55"/>
          <w:w w:val="105"/>
        </w:rPr>
        <w:t> </w:t>
      </w:r>
      <w:r>
        <w:rPr>
          <w:w w:val="105"/>
        </w:rPr>
        <w:t>quedarán aseguradas con las mismas condiciones en que fue contratada  la  póliza,  desde  el  momento  en  que</w:t>
      </w:r>
      <w:r>
        <w:rPr>
          <w:spacing w:val="55"/>
          <w:w w:val="105"/>
        </w:rPr>
        <w:t> </w:t>
      </w:r>
      <w:r>
        <w:rPr>
          <w:w w:val="105"/>
        </w:rPr>
        <w:t>adquirieron las características para formar parte del Grupo de que se</w:t>
      </w:r>
      <w:r>
        <w:rPr>
          <w:spacing w:val="-22"/>
          <w:w w:val="105"/>
        </w:rPr>
        <w:t> </w:t>
      </w:r>
      <w:r>
        <w:rPr>
          <w:w w:val="105"/>
        </w:rPr>
        <w:t>trate.</w:t>
      </w:r>
    </w:p>
    <w:p>
      <w:pPr>
        <w:pStyle w:val="BodyText"/>
        <w:spacing w:line="235" w:lineRule="auto"/>
        <w:ind w:left="147" w:right="192"/>
        <w:jc w:val="both"/>
      </w:pPr>
      <w:r>
        <w:rPr>
          <w:w w:val="105"/>
        </w:rPr>
        <w:t>Con independencia de lo previsto en el párrafo anterior, tratándose de personas que soliciten su ingreso  al  Grupo asegurado con posterioridad a la celebración del contrato y que hayan dado su consentimiento después de los</w:t>
      </w:r>
    </w:p>
    <w:p>
      <w:pPr>
        <w:pStyle w:val="BodyText"/>
        <w:spacing w:line="235" w:lineRule="auto" w:before="2"/>
        <w:ind w:left="147" w:right="150"/>
        <w:jc w:val="both"/>
      </w:pPr>
      <w:r>
        <w:rPr>
          <w:w w:val="105"/>
        </w:rPr>
        <w:t>30 días naturales siguientes a la  fecha  en  que  hubieran  adquirido  el  derecho  de  formar  parte  del  mismo,</w:t>
      </w:r>
      <w:r>
        <w:rPr>
          <w:spacing w:val="55"/>
          <w:w w:val="105"/>
        </w:rPr>
        <w:t> </w:t>
      </w:r>
      <w:r>
        <w:rPr>
          <w:w w:val="105"/>
        </w:rPr>
        <w:t>ZAM,  dentro de los 30 días naturales siguientes a la fecha en que  se  le  haya  comunicado  esa  situación,  podrá  exigir</w:t>
      </w:r>
      <w:r>
        <w:rPr>
          <w:spacing w:val="55"/>
          <w:w w:val="105"/>
        </w:rPr>
        <w:t> </w:t>
      </w:r>
      <w:r>
        <w:rPr>
          <w:w w:val="105"/>
        </w:rPr>
        <w:t>requisitos médicos u  otros  para  asegurarlas,  si  no  lo  hace  quedarán  aseguradas  con  las  mismas  condiciones  en</w:t>
      </w:r>
      <w:r>
        <w:rPr>
          <w:spacing w:val="55"/>
          <w:w w:val="105"/>
        </w:rPr>
        <w:t> </w:t>
      </w:r>
      <w:r>
        <w:rPr>
          <w:w w:val="105"/>
        </w:rPr>
        <w:t>que fue contratada la</w:t>
      </w:r>
      <w:r>
        <w:rPr>
          <w:spacing w:val="-5"/>
          <w:w w:val="105"/>
        </w:rPr>
        <w:t> </w:t>
      </w:r>
      <w:r>
        <w:rPr>
          <w:w w:val="105"/>
        </w:rPr>
        <w:t>póliza.</w:t>
      </w:r>
    </w:p>
    <w:p>
      <w:pPr>
        <w:pStyle w:val="BodyText"/>
        <w:spacing w:line="235" w:lineRule="auto" w:before="4"/>
        <w:ind w:left="147" w:right="151"/>
        <w:jc w:val="both"/>
      </w:pPr>
      <w:r>
        <w:rPr>
          <w:w w:val="105"/>
        </w:rPr>
        <w:t>Cuando ZAM exija requisitos médicos u otros para asegurar  a  las  personas  a  que  se  refiere  el  párrafo  anterior ,</w:t>
      </w:r>
      <w:r>
        <w:rPr>
          <w:spacing w:val="55"/>
          <w:w w:val="105"/>
        </w:rPr>
        <w:t> </w:t>
      </w:r>
      <w:r>
        <w:rPr>
          <w:w w:val="105"/>
        </w:rPr>
        <w:t>contará con un  plazo  de  30  días  naturales,  contado  a  partir  de  la  fecha  en  que  se  hayan  cumplido  dichos  requisitos para resolver sobre la aceptación o  no  de  asegurar  a  la  persona,  de  no  hacerlo  se  entenderá  que  la</w:t>
      </w:r>
      <w:r>
        <w:rPr>
          <w:spacing w:val="55"/>
          <w:w w:val="105"/>
        </w:rPr>
        <w:t> </w:t>
      </w:r>
      <w:r>
        <w:rPr>
          <w:w w:val="105"/>
        </w:rPr>
        <w:t>acepta con las mismas condiciones en que fue contratada la</w:t>
      </w:r>
      <w:r>
        <w:rPr>
          <w:spacing w:val="-17"/>
          <w:w w:val="105"/>
        </w:rPr>
        <w:t> </w:t>
      </w:r>
      <w:r>
        <w:rPr>
          <w:w w:val="105"/>
        </w:rPr>
        <w:t>Póliza”.</w:t>
      </w:r>
    </w:p>
    <w:p>
      <w:pPr>
        <w:pStyle w:val="BodyText"/>
        <w:spacing w:line="235" w:lineRule="auto" w:before="9"/>
        <w:ind w:left="147" w:right="151"/>
        <w:jc w:val="both"/>
      </w:pPr>
      <w:r>
        <w:rPr>
          <w:b/>
          <w:w w:val="105"/>
          <w:sz w:val="21"/>
        </w:rPr>
        <w:t>Artículo 18</w:t>
      </w:r>
      <w:r>
        <w:rPr>
          <w:b/>
          <w:w w:val="105"/>
        </w:rPr>
        <w:t>. </w:t>
      </w:r>
      <w:r>
        <w:rPr>
          <w:w w:val="105"/>
        </w:rPr>
        <w:t>“Las personas que  se  separen  definitivamente  del  Grupo  asegurado,  dejarán  de  estar  aseguradas</w:t>
      </w:r>
      <w:r>
        <w:rPr>
          <w:spacing w:val="55"/>
          <w:w w:val="105"/>
        </w:rPr>
        <w:t> </w:t>
      </w:r>
      <w:r>
        <w:rPr>
          <w:w w:val="105"/>
        </w:rPr>
        <w:t>desde  el  momento  de  su  separación,  quedando  sin  validez  alguna  el  Certificado  individual  expedido.  En  este  </w:t>
      </w:r>
      <w:r>
        <w:rPr>
          <w:spacing w:val="55"/>
          <w:w w:val="105"/>
        </w:rPr>
        <w:t> </w:t>
      </w:r>
      <w:r>
        <w:rPr>
          <w:w w:val="105"/>
        </w:rPr>
        <w:t>caso, ZAM restituirá la parte de la prima neta no  devengada  de  dichos  integrantes  calculada  en  días  exactos,</w:t>
      </w:r>
      <w:r>
        <w:rPr>
          <w:spacing w:val="55"/>
          <w:w w:val="105"/>
        </w:rPr>
        <w:t> </w:t>
      </w:r>
      <w:r>
        <w:rPr>
          <w:w w:val="105"/>
        </w:rPr>
        <w:t>a  quienes la hayan aportado, en la proporción</w:t>
      </w:r>
      <w:r>
        <w:rPr>
          <w:spacing w:val="-13"/>
          <w:w w:val="105"/>
        </w:rPr>
        <w:t> </w:t>
      </w:r>
      <w:r>
        <w:rPr>
          <w:w w:val="105"/>
        </w:rPr>
        <w:t>correspondiente”.</w:t>
      </w:r>
    </w:p>
    <w:p>
      <w:pPr>
        <w:pStyle w:val="BodyText"/>
        <w:spacing w:line="235" w:lineRule="auto" w:before="6"/>
        <w:ind w:left="147" w:right="151"/>
        <w:jc w:val="both"/>
      </w:pPr>
      <w:r>
        <w:rPr>
          <w:b/>
          <w:w w:val="105"/>
          <w:sz w:val="21"/>
        </w:rPr>
        <w:t>Artículo 19</w:t>
      </w:r>
      <w:r>
        <w:rPr>
          <w:b/>
          <w:w w:val="105"/>
        </w:rPr>
        <w:t>. </w:t>
      </w:r>
      <w:r>
        <w:rPr>
          <w:w w:val="105"/>
        </w:rPr>
        <w:t>“En  los  Seguros  de  Grupo  y  en  los  Seguros  Colectivos  cuyo  objeto  sea  otorgar  una  prestación</w:t>
      </w:r>
      <w:r>
        <w:rPr>
          <w:spacing w:val="55"/>
          <w:w w:val="105"/>
        </w:rPr>
        <w:t> </w:t>
      </w:r>
      <w:r>
        <w:rPr>
          <w:w w:val="105"/>
        </w:rPr>
        <w:t>laboral, se  deberá  cumplir  con  lo  siguiente:</w:t>
      </w:r>
      <w:r>
        <w:rPr>
          <w:spacing w:val="55"/>
          <w:w w:val="105"/>
        </w:rPr>
        <w:t> </w:t>
      </w:r>
      <w:r>
        <w:rPr>
          <w:w w:val="105"/>
        </w:rPr>
        <w:t>I.  Para  la  operación  de  vida,  ZAM  tendrá  la  obligación  de  asegurar ,  por  una  sola  vez  y  sin  requisitos  médicos,  al  Integrante  del  Grupo  o  Colectividad  que  se  separe  definitivamente</w:t>
      </w:r>
      <w:r>
        <w:rPr>
          <w:spacing w:val="55"/>
          <w:w w:val="105"/>
        </w:rPr>
        <w:t> </w:t>
      </w:r>
      <w:r>
        <w:rPr>
          <w:w w:val="105"/>
        </w:rPr>
        <w:t>del mismo, en cualquiera de  los  planes  individuales  de  la  operación  de  vida  que  ésta  comercialice,  con  excepción  del seguro temporal y sin incluir beneficio adicional alguno,  siempre  que  su  edad  esté  comprendida  dentro  de  los</w:t>
      </w:r>
      <w:r>
        <w:rPr>
          <w:spacing w:val="55"/>
          <w:w w:val="105"/>
        </w:rPr>
        <w:t> </w:t>
      </w:r>
      <w:r>
        <w:rPr>
          <w:w w:val="105"/>
        </w:rPr>
        <w:t>límites de admisión de ZAM. Para ejercer este  derecho,  la  persona  separada  del  Grupo  o  Colectividad  deberá</w:t>
      </w:r>
      <w:r>
        <w:rPr>
          <w:spacing w:val="55"/>
          <w:w w:val="105"/>
        </w:rPr>
        <w:t> </w:t>
      </w:r>
      <w:r>
        <w:rPr>
          <w:w w:val="105"/>
        </w:rPr>
        <w:t>presentar su solicitud a ZAM, dentro  del  plazo  de  treinta  días  naturales  a  partir  de  su  separación.  La  suma  asegurada será la que  resulte  menor  entre  la  que  se  encontraba  en  vigor  al  momento  de  la  separación  y  la</w:t>
      </w:r>
      <w:r>
        <w:rPr>
          <w:spacing w:val="55"/>
          <w:w w:val="105"/>
        </w:rPr>
        <w:t> </w:t>
      </w:r>
      <w:r>
        <w:rPr>
          <w:w w:val="105"/>
        </w:rPr>
        <w:t>máxima suma asegurada sin pruebas médicas de la cartera individual de  la  Aseguradora,  considerando  la  edad</w:t>
      </w:r>
      <w:r>
        <w:rPr>
          <w:spacing w:val="55"/>
          <w:w w:val="105"/>
        </w:rPr>
        <w:t> </w:t>
      </w:r>
      <w:r>
        <w:rPr>
          <w:w w:val="105"/>
        </w:rPr>
        <w:t>alcanzada del asegurado al momento de separarse. La prima será determinada de acuerdo a los procedimientos establecidos en las notas técnicas registradas ante la Comisión. El solicitante deberá pagar a ZAM la prima  que</w:t>
      </w:r>
      <w:r>
        <w:rPr>
          <w:spacing w:val="55"/>
          <w:w w:val="105"/>
        </w:rPr>
        <w:t> </w:t>
      </w:r>
      <w:r>
        <w:rPr>
          <w:w w:val="105"/>
        </w:rPr>
        <w:t>corresponda a la edad alcanzada y ocupación, en su caso, en la fecha de su solicitud, según la tarifa en vigor.    II.              En</w:t>
      </w:r>
      <w:r>
        <w:rPr>
          <w:spacing w:val="55"/>
          <w:w w:val="105"/>
        </w:rPr>
        <w:t> </w:t>
      </w:r>
      <w:r>
        <w:rPr>
          <w:w w:val="105"/>
        </w:rPr>
        <w:t>la  operación  de  accidentes  y  enfermedades,  ZAM  podrá  pactar  el  derecho  de  conversión  a   una   póliza individual</w:t>
      </w:r>
      <w:r>
        <w:rPr>
          <w:spacing w:val="55"/>
          <w:w w:val="105"/>
        </w:rPr>
        <w:t> </w:t>
      </w:r>
      <w:r>
        <w:rPr>
          <w:w w:val="105"/>
        </w:rPr>
        <w:t>para  los  Integrantes  del  Grupo  o  Colectividad  que  se  separen  de  manera  definitiva  del  mismo ,   señalando sus</w:t>
      </w:r>
      <w:r>
        <w:rPr>
          <w:spacing w:val="-3"/>
          <w:w w:val="105"/>
        </w:rPr>
        <w:t> </w:t>
      </w:r>
      <w:r>
        <w:rPr>
          <w:w w:val="105"/>
        </w:rPr>
        <w:t>características”.</w:t>
      </w:r>
    </w:p>
    <w:p>
      <w:pPr>
        <w:spacing w:after="0" w:line="235" w:lineRule="auto"/>
        <w:jc w:val="both"/>
        <w:sectPr>
          <w:pgSz w:w="12240" w:h="15840"/>
          <w:pgMar w:header="0" w:footer="809" w:top="280" w:bottom="1000" w:left="300" w:right="520"/>
        </w:sectPr>
      </w:pPr>
    </w:p>
    <w:p>
      <w:pPr>
        <w:pStyle w:val="Heading1"/>
        <w:spacing w:line="288" w:lineRule="auto"/>
      </w:pPr>
      <w:r>
        <w:rPr/>
        <w:drawing>
          <wp:anchor distT="0" distB="0" distL="0" distR="0" allowOverlap="1" layoutInCell="1" locked="0" behindDoc="0" simplePos="0" relativeHeight="251670528">
            <wp:simplePos x="0" y="0"/>
            <wp:positionH relativeFrom="page">
              <wp:posOffset>5903595</wp:posOffset>
            </wp:positionH>
            <wp:positionV relativeFrom="paragraph">
              <wp:posOffset>5789</wp:posOffset>
            </wp:positionV>
            <wp:extent cx="1191259" cy="708025"/>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1191259" cy="708025"/>
                    </a:xfrm>
                    <a:prstGeom prst="rect">
                      <a:avLst/>
                    </a:prstGeom>
                  </pic:spPr>
                </pic:pic>
              </a:graphicData>
            </a:graphic>
          </wp:anchor>
        </w:drawing>
      </w:r>
      <w:r>
        <w:rPr/>
        <w:t>Consentimiento - Certificado Individual de la Póliza de Seguro VIDA GRUPO + VA, sin participación en las utilidades, Con Relación Laboral</w:t>
      </w:r>
    </w:p>
    <w:p>
      <w:pPr>
        <w:pStyle w:val="BodyText"/>
        <w:spacing w:before="7"/>
        <w:rPr>
          <w:b/>
          <w:sz w:val="11"/>
        </w:rPr>
      </w:pPr>
      <w:r>
        <w:rPr/>
        <w:pict>
          <v:group style="position:absolute;margin-left:23.85pt;margin-top:8.624219pt;width:138.75pt;height:16.95pt;mso-position-horizontal-relative:page;mso-position-vertical-relative:paragraph;z-index:-251649024;mso-wrap-distance-left:0;mso-wrap-distance-right:0" coordorigin="477,172" coordsize="2775,339">
            <v:shape style="position:absolute;left:477;top:172;width:2775;height:339" coordorigin="477,172" coordsize="2775,339" path="m3177,172l552,172,523,178,499,195,483,218,477,247,477,436,483,466,499,489,523,506,552,511,3177,511,3206,506,3230,489,3246,466,3252,436,3252,247,3246,218,3230,195,3206,178,3177,172xe" filled="true" fillcolor="#ccdded" stroked="false">
              <v:path arrowok="t"/>
              <v:fill type="solid"/>
            </v:shape>
            <v:shape style="position:absolute;left:477;top:172;width:2775;height:339" coordorigin="477,172" coordsize="2775,339" path="m552,172l3177,172,3206,178,3230,195,3246,218,3252,247,3252,436,3246,466,3230,489,3206,506,3177,511,552,511,523,506,499,489,483,466,477,436,477,247,483,218,499,195,523,178,552,172xe" filled="false" stroked="true" strokeweight="0pt" strokecolor="#000000">
              <v:path arrowok="t"/>
              <v:stroke dashstyle="solid"/>
            </v:shape>
            <v:shape style="position:absolute;left:477;top:172;width:2775;height:339" type="#_x0000_t202" filled="false" stroked="false">
              <v:textbox inset="0,0,0,0">
                <w:txbxContent>
                  <w:p>
                    <w:pPr>
                      <w:spacing w:before="78"/>
                      <w:ind w:left="120" w:right="0" w:firstLine="0"/>
                      <w:jc w:val="left"/>
                      <w:rPr>
                        <w:sz w:val="19"/>
                      </w:rPr>
                    </w:pPr>
                    <w:r>
                      <w:rPr>
                        <w:b/>
                        <w:position w:val="-2"/>
                        <w:sz w:val="21"/>
                      </w:rPr>
                      <w:t>No. Póliza </w:t>
                    </w:r>
                    <w:r>
                      <w:rPr>
                        <w:sz w:val="19"/>
                      </w:rPr>
                      <w:t>12000-5473-1</w:t>
                    </w:r>
                  </w:p>
                </w:txbxContent>
              </v:textbox>
              <w10:wrap type="none"/>
            </v:shape>
            <w10:wrap type="topAndBottom"/>
          </v:group>
        </w:pict>
      </w:r>
      <w:r>
        <w:rPr/>
        <w:pict>
          <v:group style="position:absolute;margin-left:299.850006pt;margin-top:8.624219pt;width:168pt;height:16.95pt;mso-position-horizontal-relative:page;mso-position-vertical-relative:paragraph;z-index:-251646976;mso-wrap-distance-left:0;mso-wrap-distance-right:0" coordorigin="5997,172" coordsize="3360,339">
            <v:shape style="position:absolute;left:5997;top:172;width:3360;height:339" coordorigin="5997,172" coordsize="3360,339" path="m9282,172l6072,172,6043,178,6019,195,6003,218,5997,247,5997,436,6003,466,6019,489,6043,506,6072,511,9282,511,9311,506,9335,489,9351,466,9357,436,9357,247,9351,218,9335,195,9311,178,9282,172xe" filled="true" fillcolor="#ccdded" stroked="false">
              <v:path arrowok="t"/>
              <v:fill type="solid"/>
            </v:shape>
            <v:shape style="position:absolute;left:5997;top:172;width:3360;height:339" type="#_x0000_t202" filled="false" stroked="false">
              <v:textbox inset="0,0,0,0">
                <w:txbxContent>
                  <w:p>
                    <w:pPr>
                      <w:tabs>
                        <w:tab w:pos="3337" w:val="left" w:leader="none"/>
                      </w:tabs>
                      <w:spacing w:before="86"/>
                      <w:ind w:left="22" w:right="0" w:firstLine="0"/>
                      <w:jc w:val="left"/>
                      <w:rPr>
                        <w:rFonts w:ascii="Times New Roman"/>
                        <w:sz w:val="21"/>
                      </w:rPr>
                    </w:pPr>
                    <w:r>
                      <w:rPr>
                        <w:rFonts w:ascii="Times New Roman"/>
                        <w:sz w:val="21"/>
                        <w:u w:val="single"/>
                      </w:rPr>
                      <w:t>   </w:t>
                    </w:r>
                    <w:r>
                      <w:rPr>
                        <w:rFonts w:ascii="Times New Roman"/>
                        <w:spacing w:val="-13"/>
                        <w:sz w:val="21"/>
                        <w:u w:val="single"/>
                      </w:rPr>
                      <w:t> </w:t>
                    </w:r>
                    <w:r>
                      <w:rPr>
                        <w:b/>
                        <w:sz w:val="21"/>
                        <w:u w:val="single"/>
                      </w:rPr>
                      <w:t>Certificado</w:t>
                    </w:r>
                    <w:r>
                      <w:rPr>
                        <w:rFonts w:ascii="Times New Roman"/>
                        <w:sz w:val="21"/>
                        <w:u w:val="single"/>
                      </w:rPr>
                      <w:tab/>
                    </w:r>
                  </w:p>
                </w:txbxContent>
              </v:textbox>
              <w10:wrap type="none"/>
            </v:shape>
            <w10:wrap type="topAndBottom"/>
          </v:group>
        </w:pict>
      </w:r>
    </w:p>
    <w:p>
      <w:pPr>
        <w:spacing w:line="261" w:lineRule="auto" w:before="0"/>
        <w:ind w:left="192" w:right="127" w:firstLine="0"/>
        <w:jc w:val="both"/>
        <w:rPr>
          <w:sz w:val="21"/>
        </w:rPr>
      </w:pPr>
      <w:r>
        <w:rPr>
          <w:sz w:val="21"/>
        </w:rPr>
        <w:t>Para  cualquier  consulta  o  reclamación  puede  acudir  a  nuestra  </w:t>
      </w:r>
      <w:r>
        <w:rPr>
          <w:b/>
          <w:sz w:val="20"/>
        </w:rPr>
        <w:t>Unidad  de  Atención   Especializada</w:t>
      </w:r>
      <w:r>
        <w:rPr>
          <w:sz w:val="21"/>
        </w:rPr>
        <w:t>,  ubicada   en </w:t>
      </w:r>
      <w:r>
        <w:rPr>
          <w:spacing w:val="-6"/>
          <w:sz w:val="21"/>
        </w:rPr>
        <w:t>Toreo </w:t>
      </w:r>
      <w:r>
        <w:rPr>
          <w:sz w:val="21"/>
        </w:rPr>
        <w:t>Parque Central, </w:t>
      </w:r>
      <w:r>
        <w:rPr>
          <w:spacing w:val="-6"/>
          <w:sz w:val="21"/>
        </w:rPr>
        <w:t>Torre </w:t>
      </w:r>
      <w:r>
        <w:rPr>
          <w:sz w:val="21"/>
        </w:rPr>
        <w:t>B, Piso 20 Blvd. Manuel Avila  Camacho  5,  Lomas  de  Sotelo,  Naucalpan  de  Juárez, Edo. Méx. C.P. 53390, con horario de  atención  de  Lunes  a  jueves:  08:00  a  14:00  y  15:00  a  17:45  horas y Viernes: 08:00 a 15:30</w:t>
      </w:r>
      <w:r>
        <w:rPr>
          <w:spacing w:val="-8"/>
          <w:sz w:val="21"/>
        </w:rPr>
        <w:t> </w:t>
      </w:r>
      <w:r>
        <w:rPr>
          <w:sz w:val="21"/>
        </w:rPr>
        <w:t>horas.</w:t>
      </w:r>
    </w:p>
    <w:p>
      <w:pPr>
        <w:spacing w:line="266" w:lineRule="auto" w:before="0"/>
        <w:ind w:left="192" w:right="126" w:firstLine="0"/>
        <w:jc w:val="both"/>
        <w:rPr>
          <w:sz w:val="21"/>
        </w:rPr>
      </w:pPr>
      <w:r>
        <w:rPr>
          <w:sz w:val="21"/>
        </w:rPr>
        <w:t>CONDUSEF: Avenida Insurgentes Sur  762,  Colonia  del  </w:t>
      </w:r>
      <w:r>
        <w:rPr>
          <w:spacing w:val="-4"/>
          <w:sz w:val="21"/>
        </w:rPr>
        <w:t>Valle, </w:t>
      </w:r>
      <w:r>
        <w:rPr>
          <w:spacing w:val="50"/>
          <w:sz w:val="21"/>
        </w:rPr>
        <w:t> </w:t>
      </w:r>
      <w:r>
        <w:rPr>
          <w:sz w:val="21"/>
        </w:rPr>
        <w:t>Delegación  Benito  Juárez,  C.P.  03100,  Ciudad  de México. </w:t>
      </w:r>
      <w:r>
        <w:rPr>
          <w:spacing w:val="-4"/>
          <w:sz w:val="21"/>
        </w:rPr>
        <w:t>Teléfonos: </w:t>
      </w:r>
      <w:r>
        <w:rPr>
          <w:sz w:val="21"/>
        </w:rPr>
        <w:t>55 5340</w:t>
      </w:r>
      <w:r>
        <w:rPr>
          <w:spacing w:val="58"/>
          <w:sz w:val="21"/>
        </w:rPr>
        <w:t> </w:t>
      </w:r>
      <w:r>
        <w:rPr>
          <w:sz w:val="21"/>
        </w:rPr>
        <w:t>0999  o  lada  sin  costo  800  999  8080.  Página  de  internet :  </w:t>
      </w:r>
      <w:hyperlink r:id="rId9">
        <w:r>
          <w:rPr>
            <w:b/>
            <w:sz w:val="20"/>
          </w:rPr>
          <w:t>www.condusef.gob.mx</w:t>
        </w:r>
        <w:r>
          <w:rPr>
            <w:sz w:val="21"/>
          </w:rPr>
          <w:t>, </w:t>
        </w:r>
      </w:hyperlink>
      <w:r>
        <w:rPr>
          <w:sz w:val="21"/>
        </w:rPr>
        <w:t>correo electrónico:</w:t>
      </w:r>
      <w:r>
        <w:rPr>
          <w:spacing w:val="-5"/>
          <w:sz w:val="21"/>
        </w:rPr>
        <w:t> </w:t>
      </w:r>
      <w:hyperlink r:id="rId10">
        <w:r>
          <w:rPr>
            <w:sz w:val="21"/>
          </w:rPr>
          <w:t>asesoria@condusef.gob.mx.</w:t>
        </w:r>
      </w:hyperlink>
    </w:p>
    <w:p>
      <w:pPr>
        <w:pStyle w:val="BodyText"/>
        <w:rPr>
          <w:sz w:val="20"/>
        </w:rPr>
      </w:pPr>
    </w:p>
    <w:p>
      <w:pPr>
        <w:pStyle w:val="BodyText"/>
        <w:rPr>
          <w:sz w:val="20"/>
        </w:rPr>
      </w:pPr>
    </w:p>
    <w:p>
      <w:pPr>
        <w:pStyle w:val="BodyText"/>
        <w:rPr>
          <w:sz w:val="28"/>
        </w:rPr>
      </w:pPr>
    </w:p>
    <w:p>
      <w:pPr>
        <w:spacing w:line="201" w:lineRule="auto" w:before="133"/>
        <w:ind w:left="176" w:right="125" w:firstLine="0"/>
        <w:jc w:val="both"/>
        <w:rPr>
          <w:b/>
          <w:sz w:val="24"/>
        </w:rPr>
      </w:pPr>
      <w:r>
        <w:rPr>
          <w:b/>
          <w:sz w:val="24"/>
        </w:rPr>
        <w:t>"En  cumplimiento  a  lo  dispuesto  en  el  artículo  202  de  la  Ley  de  Instituciones  de   Seguros  y  de  Fianzas,  la  documentación  contractual  y   la   nota   técnica   que   integran  este  producto  de  seguros,  quedaron   registradas   ante   la   Comisión   Nacional   de   Seguros y Fianzas, a partir del día 16 de Mayo  de  2022,  con  el  número  CNSF-S0037-0230-2022. / RESP-S0082-0253-2016 /</w:t>
      </w:r>
      <w:r>
        <w:rPr>
          <w:b/>
          <w:spacing w:val="16"/>
          <w:sz w:val="24"/>
        </w:rPr>
        <w:t> </w:t>
      </w:r>
      <w:r>
        <w:rPr>
          <w:b/>
          <w:sz w:val="24"/>
        </w:rPr>
        <w:t>CONDUSEF-005407-01".</w:t>
      </w:r>
    </w:p>
    <w:sectPr>
      <w:pgSz w:w="12240" w:h="15840"/>
      <w:pgMar w:header="0" w:footer="809" w:top="320" w:bottom="1000" w:left="30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3.450001pt;margin-top:740.547791pt;width:500.8pt;height:23.4pt;mso-position-horizontal-relative:page;mso-position-vertical-relative:page;z-index:-251871232" type="#_x0000_t202" filled="false" stroked="false">
          <v:textbox inset="0,0,0,0">
            <w:txbxContent>
              <w:p>
                <w:pPr>
                  <w:spacing w:line="264" w:lineRule="auto" w:before="13"/>
                  <w:ind w:left="20" w:right="0" w:firstLine="0"/>
                  <w:jc w:val="left"/>
                  <w:rPr>
                    <w:sz w:val="18"/>
                  </w:rPr>
                </w:pPr>
                <w:r>
                  <w:rPr>
                    <w:sz w:val="18"/>
                  </w:rPr>
                  <w:t>Zurich</w:t>
                </w:r>
                <w:r>
                  <w:rPr>
                    <w:spacing w:val="-14"/>
                    <w:sz w:val="18"/>
                  </w:rPr>
                  <w:t> </w:t>
                </w:r>
                <w:r>
                  <w:rPr>
                    <w:sz w:val="18"/>
                  </w:rPr>
                  <w:t>Aseguradora</w:t>
                </w:r>
                <w:r>
                  <w:rPr>
                    <w:spacing w:val="-4"/>
                    <w:sz w:val="18"/>
                  </w:rPr>
                  <w:t> </w:t>
                </w:r>
                <w:r>
                  <w:rPr>
                    <w:sz w:val="18"/>
                  </w:rPr>
                  <w:t>Mexicana,</w:t>
                </w:r>
                <w:r>
                  <w:rPr>
                    <w:spacing w:val="-4"/>
                    <w:sz w:val="18"/>
                  </w:rPr>
                  <w:t> </w:t>
                </w:r>
                <w:r>
                  <w:rPr>
                    <w:sz w:val="18"/>
                  </w:rPr>
                  <w:t>S.A.</w:t>
                </w:r>
                <w:r>
                  <w:rPr>
                    <w:spacing w:val="-4"/>
                    <w:sz w:val="18"/>
                  </w:rPr>
                  <w:t> </w:t>
                </w:r>
                <w:r>
                  <w:rPr>
                    <w:sz w:val="18"/>
                  </w:rPr>
                  <w:t>de</w:t>
                </w:r>
                <w:r>
                  <w:rPr>
                    <w:spacing w:val="-4"/>
                    <w:sz w:val="18"/>
                  </w:rPr>
                  <w:t> </w:t>
                </w:r>
                <w:r>
                  <w:rPr>
                    <w:sz w:val="18"/>
                  </w:rPr>
                  <w:t>C.V.</w:t>
                </w:r>
                <w:r>
                  <w:rPr>
                    <w:spacing w:val="-2"/>
                    <w:sz w:val="18"/>
                  </w:rPr>
                  <w:t> </w:t>
                </w:r>
                <w:r>
                  <w:rPr>
                    <w:spacing w:val="-5"/>
                    <w:sz w:val="18"/>
                  </w:rPr>
                  <w:t>Toreo</w:t>
                </w:r>
                <w:r>
                  <w:rPr>
                    <w:spacing w:val="-4"/>
                    <w:sz w:val="18"/>
                  </w:rPr>
                  <w:t> </w:t>
                </w:r>
                <w:r>
                  <w:rPr>
                    <w:sz w:val="18"/>
                  </w:rPr>
                  <w:t>Parque</w:t>
                </w:r>
                <w:r>
                  <w:rPr>
                    <w:spacing w:val="-4"/>
                    <w:sz w:val="18"/>
                  </w:rPr>
                  <w:t> </w:t>
                </w:r>
                <w:r>
                  <w:rPr>
                    <w:sz w:val="18"/>
                  </w:rPr>
                  <w:t>Central,</w:t>
                </w:r>
                <w:r>
                  <w:rPr>
                    <w:spacing w:val="-3"/>
                    <w:sz w:val="18"/>
                  </w:rPr>
                  <w:t> </w:t>
                </w:r>
                <w:r>
                  <w:rPr>
                    <w:spacing w:val="-5"/>
                    <w:sz w:val="18"/>
                  </w:rPr>
                  <w:t>Torre</w:t>
                </w:r>
                <w:r>
                  <w:rPr>
                    <w:spacing w:val="-4"/>
                    <w:sz w:val="18"/>
                  </w:rPr>
                  <w:t> </w:t>
                </w:r>
                <w:r>
                  <w:rPr>
                    <w:sz w:val="18"/>
                  </w:rPr>
                  <w:t>B,</w:t>
                </w:r>
                <w:r>
                  <w:rPr>
                    <w:spacing w:val="-4"/>
                    <w:sz w:val="18"/>
                  </w:rPr>
                  <w:t> </w:t>
                </w:r>
                <w:r>
                  <w:rPr>
                    <w:sz w:val="18"/>
                  </w:rPr>
                  <w:t>Piso</w:t>
                </w:r>
                <w:r>
                  <w:rPr>
                    <w:spacing w:val="-4"/>
                    <w:sz w:val="18"/>
                  </w:rPr>
                  <w:t> </w:t>
                </w:r>
                <w:r>
                  <w:rPr>
                    <w:sz w:val="18"/>
                  </w:rPr>
                  <w:t>20</w:t>
                </w:r>
                <w:r>
                  <w:rPr>
                    <w:spacing w:val="-4"/>
                    <w:sz w:val="18"/>
                  </w:rPr>
                  <w:t> </w:t>
                </w:r>
                <w:r>
                  <w:rPr>
                    <w:sz w:val="18"/>
                  </w:rPr>
                  <w:t>Blvd. Manuel</w:t>
                </w:r>
                <w:r>
                  <w:rPr>
                    <w:spacing w:val="-13"/>
                    <w:sz w:val="18"/>
                  </w:rPr>
                  <w:t> </w:t>
                </w:r>
                <w:r>
                  <w:rPr>
                    <w:sz w:val="18"/>
                  </w:rPr>
                  <w:t>Avila</w:t>
                </w:r>
                <w:r>
                  <w:rPr>
                    <w:spacing w:val="-4"/>
                    <w:sz w:val="18"/>
                  </w:rPr>
                  <w:t> </w:t>
                </w:r>
                <w:r>
                  <w:rPr>
                    <w:sz w:val="18"/>
                  </w:rPr>
                  <w:t>Camacho</w:t>
                </w:r>
                <w:r>
                  <w:rPr>
                    <w:spacing w:val="1"/>
                    <w:sz w:val="18"/>
                  </w:rPr>
                  <w:t> </w:t>
                </w:r>
                <w:r>
                  <w:rPr>
                    <w:sz w:val="18"/>
                  </w:rPr>
                  <w:t>5,</w:t>
                </w:r>
                <w:r>
                  <w:rPr>
                    <w:spacing w:val="-3"/>
                    <w:sz w:val="18"/>
                  </w:rPr>
                  <w:t> </w:t>
                </w:r>
                <w:r>
                  <w:rPr>
                    <w:sz w:val="18"/>
                  </w:rPr>
                  <w:t>Lomas</w:t>
                </w:r>
                <w:r>
                  <w:rPr>
                    <w:spacing w:val="-4"/>
                    <w:sz w:val="18"/>
                  </w:rPr>
                  <w:t> </w:t>
                </w:r>
                <w:r>
                  <w:rPr>
                    <w:sz w:val="18"/>
                  </w:rPr>
                  <w:t>de Sotelo, Naucalpan de Juárez, Edo. Méx. C.P. 53390, </w:t>
                </w:r>
                <w:r>
                  <w:rPr>
                    <w:spacing w:val="-5"/>
                    <w:sz w:val="18"/>
                  </w:rPr>
                  <w:t>Tel: </w:t>
                </w:r>
                <w:r>
                  <w:rPr>
                    <w:sz w:val="18"/>
                  </w:rPr>
                  <w:t>55 5284 1000, Fax: 55 5294</w:t>
                </w:r>
                <w:r>
                  <w:rPr>
                    <w:spacing w:val="-10"/>
                    <w:sz w:val="18"/>
                  </w:rPr>
                  <w:t> </w:t>
                </w:r>
                <w:r>
                  <w:rPr>
                    <w:sz w:val="18"/>
                  </w:rPr>
                  <w:t>1020</w:t>
                </w:r>
              </w:p>
            </w:txbxContent>
          </v:textbox>
          <w10:wrap type="none"/>
        </v:shape>
      </w:pict>
    </w:r>
    <w:r>
      <w:rPr/>
      <w:pict>
        <v:shape style="position:absolute;margin-left:526.349976pt;margin-top:766.597778pt;width:57.25pt;height:12pt;mso-position-horizontal-relative:page;mso-position-vertical-relative:page;z-index:-251870208" type="#_x0000_t202" filled="false" stroked="false">
          <v:textbox inset="0,0,0,0">
            <w:txbxContent>
              <w:p>
                <w:pPr>
                  <w:spacing w:before="13"/>
                  <w:ind w:left="20" w:right="0" w:firstLine="0"/>
                  <w:jc w:val="left"/>
                  <w:rPr>
                    <w:sz w:val="18"/>
                  </w:rPr>
                </w:pPr>
                <w:r>
                  <w:rPr>
                    <w:sz w:val="18"/>
                  </w:rPr>
                  <w:t>Página </w:t>
                </w:r>
                <w:r>
                  <w:rPr/>
                  <w:fldChar w:fldCharType="begin"/>
                </w:r>
                <w:r>
                  <w:rPr>
                    <w:sz w:val="18"/>
                  </w:rPr>
                  <w:instrText> PAGE </w:instrText>
                </w:r>
                <w:r>
                  <w:rPr/>
                  <w:fldChar w:fldCharType="separate"/>
                </w:r>
                <w:r>
                  <w:rPr/>
                  <w:t>1</w:t>
                </w:r>
                <w:r>
                  <w:rPr/>
                  <w:fldChar w:fldCharType="end"/>
                </w:r>
                <w:r>
                  <w:rPr>
                    <w:sz w:val="18"/>
                  </w:rPr>
                  <w:t> de 3</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9"/>
      <w:szCs w:val="19"/>
    </w:rPr>
  </w:style>
  <w:style w:styleId="Heading1" w:type="paragraph">
    <w:name w:val="Heading 1"/>
    <w:basedOn w:val="Normal"/>
    <w:uiPriority w:val="1"/>
    <w:qFormat/>
    <w:pPr>
      <w:spacing w:before="123"/>
      <w:ind w:left="197" w:right="3588"/>
      <w:outlineLvl w:val="1"/>
    </w:pPr>
    <w:rPr>
      <w:rFonts w:ascii="Arial" w:hAnsi="Arial" w:eastAsia="Arial" w:cs="Arial"/>
      <w:b/>
      <w:bCs/>
      <w:sz w:val="24"/>
      <w:szCs w:val="24"/>
    </w:rPr>
  </w:style>
  <w:style w:styleId="Heading2" w:type="paragraph">
    <w:name w:val="Heading 2"/>
    <w:basedOn w:val="Normal"/>
    <w:uiPriority w:val="1"/>
    <w:qFormat/>
    <w:pPr>
      <w:spacing w:line="238" w:lineRule="exact"/>
      <w:ind w:left="147"/>
      <w:jc w:val="both"/>
      <w:outlineLvl w:val="2"/>
    </w:pPr>
    <w:rPr>
      <w:rFonts w:ascii="Arial" w:hAnsi="Arial" w:eastAsia="Arial" w:cs="Arial"/>
      <w:b/>
      <w:bCs/>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ind w:left="265"/>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www.zurich.com.mx/es-mx/cliente-zurich/formatos-y-condiciones-generales" TargetMode="External"/><Relationship Id="rId9" Type="http://schemas.openxmlformats.org/officeDocument/2006/relationships/hyperlink" Target="http://www.condusef.gob.mx/" TargetMode="External"/><Relationship Id="rId10" Type="http://schemas.openxmlformats.org/officeDocument/2006/relationships/hyperlink" Target="mailto:asesoria@condusef.gob.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2024-06-04T20:31:01Z</dcterms:created>
  <dcterms:modified xsi:type="dcterms:W3CDTF">2024-06-04T20:31:01Z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Crystal Reports</vt:lpwstr>
  </property>
</Properties>
</file>